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3"/>
        <w:jc w:val="center"/>
        <w:spacing w:before="0" w:line="240" w:lineRule="auto"/>
      </w:pPr>
      <w:r>
        <w:rPr>
          <w:rFonts w:ascii="Times New Roman" w:hAnsi="Times New Roman" w:cs="Times New Roman"/>
          <w:color w:val="000000" w:themeColor="text1"/>
        </w:rPr>
        <w:t xml:space="preserve">Анализ текущего состояния поднадзорной среды,                                          описание текущего уровня развития профилактической деятельности инспекции государственного строительного надзора Новосибирской области по состоянию на 01.07.2024 </w:t>
      </w:r>
      <w:r/>
    </w:p>
    <w:p>
      <w:r/>
      <w:r/>
    </w:p>
    <w:p>
      <w:pPr>
        <w:pStyle w:val="704"/>
        <w:numPr>
          <w:ilvl w:val="1"/>
          <w:numId w:val="1"/>
        </w:numPr>
        <w:jc w:val="center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видов и типов поднадзорных объектов (субъектов)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tooltip="http://docs.cntd.ru/document/432837794" w:history="1">
        <w:r>
          <w:rPr>
            <w:rFonts w:ascii="Times New Roman" w:hAnsi="Times New Roman" w:cs="Times New Roman"/>
            <w:sz w:val="28"/>
            <w:szCs w:val="28"/>
          </w:rPr>
          <w:t xml:space="preserve"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ти, утвержденным постановлением Правительства Новосибирской области от 18.10.2016 № 342-п инспекция государственного строительного надзора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инспекция), является областным исполнительным органом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оченным на осуществление регионального государственного строительного надзора в случаях, предусмотренных Градостроительным кодексом Российской Федерации (далее –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Calibri" w:hAnsi="Calibri" w:eastAsia="Calibri" w:cs="Times New Roman"/>
          <w:lang w:eastAsia="zh-CN"/>
        </w:rPr>
        <w:suppressLineNumbers/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 xml:space="preserve">Государственный строительный надзор в соответствии с частью 1 статьи 54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 xml:space="preserve">ГрК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 xml:space="preserve"> РФ осущес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 xml:space="preserve">твляется:</w:t>
      </w:r>
      <w:r>
        <w:rPr>
          <w:rFonts w:ascii="Calibri" w:hAnsi="Calibri" w:eastAsia="Calibri" w:cs="Times New Roman"/>
          <w:lang w:eastAsia="zh-CN"/>
        </w:rPr>
      </w:r>
      <w:r>
        <w:rPr>
          <w:rFonts w:ascii="Calibri" w:hAnsi="Calibri" w:eastAsia="Calibri" w:cs="Times New Roman"/>
          <w:lang w:eastAsia="zh-C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строительстве объектов капитального строительства, проектная документация которых подлежит экспертизе в соответствии со статьей 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частью 3.3 статьи 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при реконструкции объектов кап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строительства, в том числе указанных работ по сохранению объектов культурного наследия, подлежит экспертизе в соответствии со статьей 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за исключением случая, предусмотренного частью 3.3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статьи 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 Федеральном законе от 31.07.2020 № 248-ФЗ "О государственном контроле (надзоре) и муниципальном контроле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" при наличии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государственный строительный надзор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объектов, не указанных в части 1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01.07.2024 инспекция осуществляет региональный государственный строительный надзор в отношении 1021 объекта капитального строительства и реконструкции,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- 486 многоквар</w:t>
      </w:r>
      <w:r>
        <w:rPr>
          <w:rFonts w:ascii="Times New Roman" w:hAnsi="Times New Roman" w:cs="Times New Roman"/>
          <w:sz w:val="28"/>
          <w:szCs w:val="28"/>
        </w:rPr>
        <w:t xml:space="preserve">тирных жилых домов;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- 34 объекта учебно-воспитательного назначения;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- 31 объе</w:t>
      </w:r>
      <w:r>
        <w:rPr>
          <w:rFonts w:ascii="Times New Roman" w:hAnsi="Times New Roman" w:cs="Times New Roman"/>
          <w:sz w:val="28"/>
          <w:szCs w:val="28"/>
        </w:rPr>
        <w:t xml:space="preserve">кт здр</w:t>
      </w:r>
      <w:r>
        <w:rPr>
          <w:rFonts w:ascii="Times New Roman" w:hAnsi="Times New Roman" w:cs="Times New Roman"/>
          <w:sz w:val="28"/>
          <w:szCs w:val="28"/>
        </w:rPr>
        <w:t xml:space="preserve">авоохранения и социального обслуживания,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- 32 объекта для культурно-досуговой деятельности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- 28 гостиниц;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- 35 зданий общественного и административного назнач</w:t>
      </w:r>
      <w:r>
        <w:rPr>
          <w:rFonts w:ascii="Times New Roman" w:hAnsi="Times New Roman" w:cs="Times New Roman"/>
          <w:sz w:val="28"/>
          <w:szCs w:val="28"/>
        </w:rPr>
        <w:t xml:space="preserve">ения;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- 32 здания торговли и общественного питания;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- 104 здания и сооружения производственного и складского назначения;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- 34 объекта инженерного обеспечения и связи, из них 14 скважин и водозаборов;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- 30 объектов транспортной инфраструктуры, в том числе 29 подземных и надземных открытых автостоянок и гаражных комплексов;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- 30 объектов энергетики;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- 92 </w:t>
      </w:r>
      <w:r>
        <w:rPr>
          <w:rFonts w:ascii="Times New Roman" w:hAnsi="Times New Roman" w:cs="Times New Roman"/>
          <w:sz w:val="28"/>
          <w:szCs w:val="28"/>
        </w:rPr>
        <w:t xml:space="preserve">линейных</w:t>
      </w:r>
      <w:r>
        <w:rPr>
          <w:rFonts w:ascii="Times New Roman" w:hAnsi="Times New Roman" w:cs="Times New Roman"/>
          <w:sz w:val="28"/>
          <w:szCs w:val="28"/>
        </w:rPr>
        <w:t xml:space="preserve"> объекта,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газопровод;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 объекта сетей водопровода и канализации;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44 автодороги, общей протяженностью 48,376 км;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автомобильных и пешеходных мостов;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- 53 прочих объекта.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 w:themeFill="background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п. 83 Положения о региональном государственном строительном надзоре на территории Новосибирской области, утвержденным постановлен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ием Правительства Новосибирской области от 26.10.2021 № 435-п,   при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</w:t>
      </w:r>
      <w:r>
        <w:rPr>
          <w:rFonts w:ascii="Times New Roman" w:hAnsi="Times New Roman"/>
          <w:sz w:val="28"/>
          <w:szCs w:val="28"/>
          <w:lang w:eastAsia="ru-RU"/>
        </w:rPr>
        <w:t xml:space="preserve">ор проводимых инспекцией профилактических мероприятий, их содержание, интенсивность и результаты.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 w:themeFill="background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</w:t>
      </w:r>
      <w:r>
        <w:rPr>
          <w:rFonts w:ascii="Times New Roman" w:hAnsi="Times New Roman"/>
          <w:sz w:val="28"/>
          <w:szCs w:val="28"/>
          <w:lang w:eastAsia="ru-RU"/>
        </w:rPr>
        <w:t xml:space="preserve">ля к одной из следующих категорий риска причинения вреда (ущерба) (далее – категории риска):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sz w:val="28"/>
          <w:szCs w:val="28"/>
        </w:rPr>
        <w:t xml:space="preserve">высокий риск</w:t>
      </w:r>
      <w:r>
        <w:rPr>
          <w:rFonts w:ascii="Times New Roman" w:hAnsi="Times New Roman"/>
          <w:sz w:val="28"/>
          <w:szCs w:val="28"/>
        </w:rPr>
        <w:t xml:space="preserve"> – общественные здания и сооружения, многоквартирные жилые дома, путепроводы, тоннели, мосты и эстакады, а также объекты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с пролетом от 20 до 100 метров;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 xml:space="preserve">значительный риск</w:t>
      </w:r>
      <w:r>
        <w:rPr>
          <w:rFonts w:ascii="Times New Roman" w:hAnsi="Times New Roman"/>
          <w:sz w:val="28"/>
          <w:szCs w:val="28"/>
        </w:rPr>
        <w:t xml:space="preserve"> – производственные здания;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sz w:val="28"/>
          <w:szCs w:val="28"/>
        </w:rPr>
        <w:t xml:space="preserve">низкий риск</w:t>
      </w:r>
      <w:r>
        <w:rPr>
          <w:rFonts w:ascii="Times New Roman" w:hAnsi="Times New Roman"/>
          <w:sz w:val="28"/>
          <w:szCs w:val="28"/>
        </w:rPr>
        <w:t xml:space="preserve"> – объекты капитального строительства, не указанные в подпунктах 1 и 2 настоящего пункта.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Отнесение объектов регионального государственного строительного надзора </w:t>
      </w:r>
      <w:r>
        <w:rPr>
          <w:rFonts w:ascii="Times New Roman" w:hAnsi="Times New Roman"/>
          <w:sz w:val="28"/>
          <w:szCs w:val="28"/>
        </w:rPr>
        <w:t xml:space="preserve">к определенной категории риска осуществляется приказом инспекции после получения извещения о начале строительства (реконструкции) объекта капитального строительства.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 xml:space="preserve">объектов государственного надзора по категориям риска по состоянию на 01.07.</w:t>
      </w:r>
      <w:r>
        <w:rPr>
          <w:rFonts w:ascii="Times New Roman" w:hAnsi="Times New Roman" w:cs="Times New Roman"/>
          <w:sz w:val="28"/>
          <w:szCs w:val="28"/>
        </w:rPr>
        <w:t xml:space="preserve">2024 приведено на рисунке 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color w:val="ff0000"/>
          <w:sz w:val="6"/>
          <w:szCs w:val="28"/>
        </w:rPr>
      </w:pPr>
      <w:r>
        <w:rPr>
          <w:rFonts w:ascii="Times New Roman" w:hAnsi="Times New Roman" w:cs="Times New Roman"/>
          <w:color w:val="ff0000"/>
          <w:sz w:val="6"/>
          <w:szCs w:val="28"/>
        </w:rPr>
      </w:r>
      <w:r>
        <w:rPr>
          <w:rFonts w:ascii="Times New Roman" w:hAnsi="Times New Roman" w:cs="Times New Roman"/>
          <w:color w:val="ff0000"/>
          <w:sz w:val="6"/>
          <w:szCs w:val="28"/>
        </w:rPr>
      </w:r>
      <w:r>
        <w:rPr>
          <w:rFonts w:ascii="Times New Roman" w:hAnsi="Times New Roman" w:cs="Times New Roman"/>
          <w:color w:val="ff0000"/>
          <w:sz w:val="6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080635" cy="1852295"/>
            <wp:effectExtent l="0" t="0" r="24765" b="1460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Правительства РФ от 01.12.2021</w:t>
      </w:r>
      <w:r>
        <w:rPr>
          <w:rFonts w:ascii="Times New Roman" w:hAnsi="Times New Roman" w:cs="Times New Roman"/>
          <w:sz w:val="28"/>
          <w:szCs w:val="28"/>
        </w:rPr>
        <w:t xml:space="preserve"> № 2161, объектами регионального государственного строительного надзора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</w:t>
      </w:r>
      <w:r>
        <w:rPr>
          <w:rFonts w:ascii="Times New Roman" w:hAnsi="Times New Roman" w:cs="Times New Roman"/>
          <w:sz w:val="28"/>
          <w:szCs w:val="28"/>
        </w:rPr>
        <w:t xml:space="preserve">онтролируемые лица), по строительству, реконструкции объектов капитального строительства, указанных в части 11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владеют и (или) пользуются и которые указаны в части 11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в случаях, установленных частями 1 и 2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Контролируемыми лицами при осуществлении инспекцией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строительного надзора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  <w:t xml:space="preserve">застройщик:</w:t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16 статьи 1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– физическое или юридическое лицо, обеспечивающее на принадлежащем ему земельном участке или на земельном участке иного правообладателя (которому при осуществлении бюджетных инвестиций в объекты капита</w:t>
      </w:r>
      <w:r>
        <w:rPr>
          <w:rFonts w:ascii="Times New Roman" w:hAnsi="Times New Roman" w:cs="Times New Roman"/>
          <w:sz w:val="28"/>
          <w:szCs w:val="28"/>
        </w:rPr>
        <w:t xml:space="preserve">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r>
        <w:rPr>
          <w:rFonts w:ascii="Times New Roman" w:hAnsi="Times New Roman" w:cs="Times New Roman"/>
          <w:sz w:val="28"/>
          <w:szCs w:val="28"/>
        </w:rPr>
        <w:t xml:space="preserve">Росатом</w:t>
      </w:r>
      <w:r>
        <w:rPr>
          <w:rFonts w:ascii="Times New Roman" w:hAnsi="Times New Roman" w:cs="Times New Roman"/>
          <w:sz w:val="28"/>
          <w:szCs w:val="28"/>
        </w:rPr>
        <w:t xml:space="preserve">", Государственная корпорация по космической деятельности "</w:t>
      </w:r>
      <w:r>
        <w:rPr>
          <w:rFonts w:ascii="Times New Roman" w:hAnsi="Times New Roman" w:cs="Times New Roman"/>
          <w:sz w:val="28"/>
          <w:szCs w:val="28"/>
        </w:rPr>
        <w:t xml:space="preserve">Роскосмос</w:t>
      </w:r>
      <w:r>
        <w:rPr>
          <w:rFonts w:ascii="Times New Roman" w:hAnsi="Times New Roman" w:cs="Times New Roman"/>
          <w:sz w:val="28"/>
          <w:szCs w:val="28"/>
        </w:rPr>
        <w:t xml:space="preserve">", органы у</w:t>
      </w:r>
      <w:r>
        <w:rPr>
          <w:rFonts w:ascii="Times New Roman" w:hAnsi="Times New Roman" w:cs="Times New Roman"/>
          <w:sz w:val="28"/>
          <w:szCs w:val="28"/>
        </w:rPr>
        <w:t xml:space="preserve">правления государственными внебюджетными фондами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</w:t>
      </w:r>
      <w:r>
        <w:rPr>
          <w:rFonts w:ascii="Times New Roman" w:hAnsi="Times New Roman" w:cs="Times New Roman"/>
          <w:sz w:val="28"/>
          <w:szCs w:val="28"/>
        </w:rPr>
        <w:t xml:space="preserve">которому в соответствии со статьей 13.3 Федерального закона от 29.07.2017 года №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</w:t>
      </w:r>
      <w:r>
        <w:rPr>
          <w:rFonts w:ascii="Times New Roman" w:hAnsi="Times New Roman" w:cs="Times New Roman"/>
          <w:sz w:val="28"/>
          <w:szCs w:val="28"/>
        </w:rPr>
        <w:t xml:space="preserve">свои функции застройщика) строительство, реконструкцию, капитальный ремонт, снос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</w:t>
      </w:r>
      <w:r>
        <w:rPr>
          <w:rFonts w:ascii="Times New Roman" w:hAnsi="Times New Roman" w:cs="Times New Roman"/>
          <w:sz w:val="28"/>
          <w:szCs w:val="28"/>
        </w:rPr>
        <w:t xml:space="preserve">ройщик вправе передать свои функции, предусмотренные законодательством о градостроительной деятельности, техническому заказчику;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  <w:t xml:space="preserve">2) технический заказчик:</w:t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22 статьи 1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– юридическое лицо, которое уполномочено застройщиком и от </w:t>
      </w:r>
      <w:r>
        <w:rPr>
          <w:rFonts w:ascii="Times New Roman" w:hAnsi="Times New Roman" w:cs="Times New Roman"/>
          <w:sz w:val="28"/>
          <w:szCs w:val="28"/>
        </w:rPr>
        <w:t xml:space="preserve">имени застройщика заключает договоры о выполнении инженерных изысканий, о подготовке проектной документации, о строительстве, реконструкции, капитальном ремонте, сносе объектов капитального строительства, подготавливает задания на выполнение указанных видо</w:t>
      </w:r>
      <w:r>
        <w:rPr>
          <w:rFonts w:ascii="Times New Roman" w:hAnsi="Times New Roman" w:cs="Times New Roman"/>
          <w:sz w:val="28"/>
          <w:szCs w:val="28"/>
        </w:rPr>
        <w:t xml:space="preserve">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материалы и документы, необходимые для выпо</w:t>
      </w:r>
      <w:r>
        <w:rPr>
          <w:rFonts w:ascii="Times New Roman" w:hAnsi="Times New Roman" w:cs="Times New Roman"/>
          <w:sz w:val="28"/>
          <w:szCs w:val="28"/>
        </w:rPr>
        <w:t xml:space="preserve">лнения указанных видов работ, </w:t>
      </w:r>
      <w:r>
        <w:rPr>
          <w:rFonts w:ascii="Times New Roman" w:hAnsi="Times New Roman" w:cs="Times New Roman"/>
          <w:sz w:val="28"/>
          <w:szCs w:val="28"/>
        </w:rPr>
        <w:t xml:space="preserve">утверждает проектную документацию, подписывает документы, необходимые для получения разрешения на ввод объекта капитального строительства в эксплуатацию, осуществляет иные функции, предусмотренные законодательством о градостро</w:t>
      </w:r>
      <w:r>
        <w:rPr>
          <w:rFonts w:ascii="Times New Roman" w:hAnsi="Times New Roman" w:cs="Times New Roman"/>
          <w:sz w:val="28"/>
          <w:szCs w:val="28"/>
        </w:rPr>
        <w:t xml:space="preserve">ительной деятельности (далее также - функции технического заказчика). </w:t>
      </w:r>
      <w:r>
        <w:rPr>
          <w:rFonts w:ascii="Times New Roman" w:hAnsi="Times New Roman" w:cs="Times New Roman"/>
          <w:sz w:val="28"/>
          <w:szCs w:val="28"/>
        </w:rPr>
        <w:t xml:space="preserve">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3" w:tooltip="consultantplus://offline/ref=131CC43B81ECCCB612C55E389A691AD51CDB41F24D35CC9149329389DC7A974CAC93EE67B18C87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2.1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consultantplus://offline/ref=131CC43B81ECCCB612C55E389A691AD51CDB41F24D35CC9149329389DC7A974CAC93EE67B18382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ч</w:t>
        </w:r>
        <w:r>
          <w:rPr>
            <w:rFonts w:ascii="Times New Roman" w:hAnsi="Times New Roman" w:cs="Times New Roman"/>
            <w:sz w:val="28"/>
            <w:szCs w:val="28"/>
          </w:rPr>
          <w:t xml:space="preserve">астью 4.1 статьи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consultantplus://offline/ref=131CC43B81ECCCB612C55E389A691AD51CDB41F24D35CC9149329389DC7A974CAC93EE67B18287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частями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tooltip="consultantplus://offline/ref=131CC43B81ECCCB612C55E389A691AD51CDB41F24D35CC9149329389DC7A974CAC93EE67B18286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2.2 статьи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consultantplus://offline/ref=131CC43B81ECCCB612C55E389A691AD51CDB41F24D35CC9149329389DC7A974CAC93EE64B08E86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частями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consultantplus://offline/ref=131CC43B81ECCCB612C55E389A691AD51CDB41F24D35CC9149329389DC7A974CAC93EE64B08E89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6 статьи 55.31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  <w:t xml:space="preserve">3) лицо, осуществляющее 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- лицо, осуществляющее строительство)</w:t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  <w:t xml:space="preserve">ГрК</w:t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может являться застройщик либо индивидуальный предприниматель или юридическое лицо, заключившие договор строительного подряда. </w:t>
      </w:r>
      <w:r>
        <w:rPr>
          <w:rFonts w:ascii="Times New Roman" w:hAnsi="Times New Roman" w:cs="Times New Roman"/>
          <w:sz w:val="28"/>
          <w:szCs w:val="28"/>
        </w:rPr>
        <w:t xml:space="preserve">Лицо, осуществляющее строительство, обеспечивает соблюдение требований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 (или) информационной модели (в случае, если формирование и ведение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мационной модели являются обязательными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4"/>
        <w:ind w:left="50" w:firstLine="691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Региональный государственный строительный надзор осуществляется посредством организации и проведения контрольных (на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дзорных) мероприятий в отношении контролируемых лиц.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</w:t>
      </w:r>
      <w:hyperlink r:id="rId19" w:tooltip="consultantplus://offline/ref=67693AB61EC29F808AB3E1B6B07CD5D977C62F008FAEE4C1C77ABA12BD5B1C5B815268EBAD62C803A814C08E302892897DC3F227E4b1U7I" w:history="1">
        <w:r>
          <w:rPr>
            <w:rFonts w:ascii="Times New Roman" w:hAnsi="Times New Roman" w:cs="Times New Roman"/>
            <w:sz w:val="28"/>
            <w:szCs w:val="28"/>
          </w:rPr>
          <w:t xml:space="preserve">ча</w:t>
        </w:r>
        <w:r>
          <w:rPr>
            <w:rFonts w:ascii="Times New Roman" w:hAnsi="Times New Roman" w:cs="Times New Roman"/>
            <w:sz w:val="28"/>
            <w:szCs w:val="28"/>
          </w:rPr>
          <w:t xml:space="preserve">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является соблюдение: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ой в соответствии с частями 15, 15.2 и 15.3 статьи 48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модели (в случае, если формирование и ведение информационной модели являются обязательными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 наличия разрешения на строительство;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 выполнения требований, установленных частями 2 и 3.1 статьи 52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ГрК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РФ;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требований, установленных частью 4 статьи 52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к обеспечению консервации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 к порядку осуществления строительного контроля,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</w:t>
      </w:r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части 2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являются соблюдение: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требований наличия разрешения на строительство и соответствия объекта капитального строительства параметрам,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разрешении на строительство, если разрешение на строительство требуется для строительства или реконструкции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соответствия параметров объектов капитального строительства предельным параметрам разрешенного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объектов капитального строительства, установленным правилами землепользования и застройки, документацией по планировке территории, и обязательным требованиям к параметрам объектов капитального строительства,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другими феде</w:t>
      </w:r>
      <w:r>
        <w:rPr>
          <w:rFonts w:ascii="Times New Roman" w:hAnsi="Times New Roman" w:cs="Times New Roman"/>
          <w:sz w:val="28"/>
          <w:szCs w:val="28"/>
        </w:rPr>
        <w:t xml:space="preserve">ральными законами, если для строительства или реконструкции объекта капитального строительства не требуется разрешение на строительство.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строительного надзора доступ на объекты капитального строительства в целях проведения соответствующего контрольного (надзорного) мероприятия. Контролируемому лицу (его представителю) инспектором, в том числе руководителем группы инспекторов, предъявляются </w:t>
      </w:r>
      <w:r>
        <w:rPr>
          <w:rFonts w:ascii="Times New Roman" w:hAnsi="Times New Roman" w:cs="Times New Roman"/>
          <w:sz w:val="28"/>
          <w:szCs w:val="28"/>
        </w:rPr>
        <w:t xml:space="preserve">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</w:t>
      </w:r>
      <w:r>
        <w:rPr>
          <w:rFonts w:ascii="Times New Roman" w:hAnsi="Times New Roman" w:cs="Times New Roman"/>
          <w:sz w:val="28"/>
          <w:szCs w:val="28"/>
        </w:rPr>
        <w:t xml:space="preserve">адзорного) мероприятия в едином реестре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проведенных инспекцией контрольных (надзорных) мероприятий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перво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полугодие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приведена в таблице № 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02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199"/>
        <w:gridCol w:w="1313"/>
        <w:gridCol w:w="1459"/>
        <w:gridCol w:w="1275"/>
        <w:gridCol w:w="1275"/>
        <w:gridCol w:w="1275"/>
        <w:gridCol w:w="1418"/>
      </w:tblGrid>
      <w:tr>
        <w:tblPrEx/>
        <w:trPr>
          <w:trHeight w:val="600"/>
        </w:trPr>
        <w:tc>
          <w:tcPr>
            <w:gridSpan w:val="2"/>
            <w:shd w:val="clear" w:color="auto" w:fill="auto"/>
            <w:tcW w:w="20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Проведено контрольных (надзорных) меропри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ятий: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Выездная проверка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Документарная проверка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Инспекционный визит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Рейдовый осмотр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Выездное обследование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Мониторинг 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shd w:val="clear" w:color="auto" w:fill="auto"/>
            <w:tcW w:w="20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программам проверок: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1027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shd w:val="clear" w:color="auto" w:fill="auto"/>
            <w:tcW w:w="20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контролю исполнения предписаний: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заявлениям и обращениям: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auto"/>
            <w:tcW w:w="1199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ч. 1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ГрК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2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 (о возникновении угрозы причинения вреда жизни, здоровью граждан, вреда животным, растениям, окружающей среде,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объектам культурного наследия)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 (из них 57 – индикатор риска)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auto"/>
            <w:tcW w:w="1199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ч. 2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ГрК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W w:w="2049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требованиям прокуратуры: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W w:w="2049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иным основаниям: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(индикатор риска)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(индикатор риска)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(обращение граждан)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shd w:val="clear" w:color="auto" w:fill="auto"/>
            <w:tcW w:w="2049" w:type="dxa"/>
            <w:textDirection w:val="lrTb"/>
            <w:noWrap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"/>
          <w:szCs w:val="28"/>
        </w:rPr>
      </w:r>
      <w:r>
        <w:rPr>
          <w:rFonts w:ascii="Times New Roman" w:hAnsi="Times New Roman" w:cs="Times New Roman"/>
          <w:sz w:val="2"/>
          <w:szCs w:val="28"/>
        </w:rPr>
      </w:r>
      <w:r>
        <w:rPr>
          <w:rFonts w:ascii="Times New Roman" w:hAnsi="Times New Roman" w:cs="Times New Roman"/>
          <w:sz w:val="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"/>
          <w:szCs w:val="24"/>
        </w:rPr>
      </w:r>
      <w:r>
        <w:rPr>
          <w:rFonts w:ascii="Times New Roman" w:hAnsi="Times New Roman" w:cs="Times New Roman"/>
          <w:sz w:val="2"/>
          <w:szCs w:val="24"/>
        </w:rPr>
      </w:r>
      <w:r>
        <w:rPr>
          <w:rFonts w:ascii="Times New Roman" w:hAnsi="Times New Roman" w:cs="Times New Roman"/>
          <w:sz w:val="2"/>
          <w:szCs w:val="24"/>
        </w:rPr>
      </w:r>
    </w:p>
    <w:p>
      <w:pPr>
        <w:jc w:val="both"/>
        <w:spacing w:after="0" w:line="240" w:lineRule="auto"/>
        <w:rPr>
          <w:sz w:val="4"/>
        </w:rPr>
      </w:pPr>
      <w:r>
        <w:rPr>
          <w:sz w:val="4"/>
        </w:rPr>
      </w:r>
      <w:r>
        <w:rPr>
          <w:sz w:val="4"/>
        </w:rPr>
      </w:r>
      <w:r>
        <w:rPr>
          <w:sz w:val="4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рассматриваемый период происходит увеличение количества проведенных контрольных (надзорных) мероприятий и уменьшение выявленных наруш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ений обязательных требований, о чем свидетельствуют показатели таблицы № 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Увеличение количества контрольных (надзорных) мероприятий произошло за счет увеличения количества выездных обследований и документарных проверок.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"/>
          <w:szCs w:val="28"/>
          <w:highlight w:val="white"/>
        </w:rPr>
      </w:pPr>
      <w:r>
        <w:rPr>
          <w:rFonts w:ascii="Times New Roman" w:hAnsi="Times New Roman" w:cs="Times New Roman"/>
          <w:sz w:val="2"/>
          <w:szCs w:val="28"/>
          <w:highlight w:val="white"/>
        </w:rPr>
      </w:r>
      <w:r>
        <w:rPr>
          <w:rFonts w:ascii="Times New Roman" w:hAnsi="Times New Roman" w:cs="Times New Roman"/>
          <w:sz w:val="2"/>
          <w:szCs w:val="28"/>
          <w:highlight w:val="white"/>
        </w:rPr>
      </w:r>
      <w:r>
        <w:rPr>
          <w:rFonts w:ascii="Times New Roman" w:hAnsi="Times New Roman" w:cs="Times New Roman"/>
          <w:sz w:val="2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0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9"/>
        <w:gridCol w:w="2551"/>
        <w:gridCol w:w="2443"/>
      </w:tblGrid>
      <w:tr>
        <w:tblPrEx/>
        <w:trPr/>
        <w:tc>
          <w:tcPr>
            <w:tcW w:w="49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49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42"/>
        </w:trPr>
        <w:tc>
          <w:tcPr>
            <w:tcW w:w="4929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состоянию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01.07.2023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состоянию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01.07.2024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выявленных нарушений обязательных требований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10"/>
          <w:szCs w:val="28"/>
        </w:rPr>
      </w:r>
      <w:r>
        <w:rPr>
          <w:rFonts w:ascii="Times New Roman" w:hAnsi="Times New Roman" w:cs="Times New Roman"/>
          <w:sz w:val="10"/>
          <w:szCs w:val="28"/>
        </w:rPr>
      </w:r>
      <w:r>
        <w:rPr>
          <w:rFonts w:ascii="Times New Roman" w:hAnsi="Times New Roman" w:cs="Times New Roman"/>
          <w:sz w:val="10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распространенным видом юридической ответственности в 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</w:t>
      </w:r>
      <w:r>
        <w:rPr>
          <w:rFonts w:ascii="Times New Roman" w:hAnsi="Times New Roman" w:cs="Times New Roman"/>
          <w:sz w:val="28"/>
          <w:szCs w:val="28"/>
        </w:rPr>
        <w:t xml:space="preserve">редупреждение, выявление и пресечение нарушений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видом административного наказания за 1 полугодие 2024 года, применяемого инспекцией и судами Новосибирской области, является административный штраф (1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влений/решений инспекции, постановлений/решений судов НСО).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применения административных наказаний за рассматриваемый период приведена на рисунке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  <w:lang w:eastAsia="ru-RU"/>
        </w:rPr>
        <w:drawing>
          <wp:inline distT="0" distB="0" distL="0" distR="0">
            <wp:extent cx="5433237" cy="4518836"/>
            <wp:effectExtent l="4762" t="4762" r="4762" b="4762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нализ составов административных правонарушений КоАП РФ позволяет выделить группу административных правонарушений в строительстве, группу административных правонарушений против порядка управления и группу административных правонарушений, посягающих на общес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твенный порядок и общественную безопасность. К числу первых следует отнести следующие составы: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статья 9.4 КоАП РФ – нарушение обязательных требований в области строительства и применения строительных материалов (изделий);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статья 9.5 КоАП РФ – нарушение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установленного порядка строительства, реконструкции, капитального ремонта объекта капитального строительства, ввода его в эксплуатацию;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часть 1 статьи 9.5.1 – выполнение работ по строительству, реконструкции, объектов капитального строительства лицом,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являющимся членом саморегулируемой организации в области строительства, реконструкции объектов капитального строительства, если для выполнения таких работ членство в такой саморегулируемой организации является обязательным.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Эти составы непосредственно 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саются предмета надзорной деятельности инспекции.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второй группе административных правонарушений относятся: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часть 6 статьи 19.5 КоАП РФ – невыполнение в срок законного предписания (постановления, представления, решения) органа (должностного лица), осущ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ествляющего государственный надзор (контроль);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статья 19.7 КоАП РФ – непредставление сведений (информации).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третьей группе административных правонарушений относится: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часть 1 статьи 20.25 КоАП РФ – неуплата административного штрафа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срок, предусмотренный КоАП РФ.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Сведения о количестве вынесенных инспекцией, а так же судами Новосибирской области постановлений/решений на основании поступивших материалов дел об 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вных правонарушениях в сфере строительства, представлены в таб</w:t>
      </w:r>
      <w:r>
        <w:rPr>
          <w:rFonts w:ascii="Times New Roman" w:hAnsi="Times New Roman" w:cs="Times New Roman"/>
          <w:sz w:val="28"/>
          <w:szCs w:val="28"/>
        </w:rPr>
        <w:t xml:space="preserve">лице № 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98" w:type="dxa"/>
        <w:tblInd w:w="191" w:type="dxa"/>
        <w:tblLook w:val="04A0" w:firstRow="1" w:lastRow="0" w:firstColumn="1" w:lastColumn="0" w:noHBand="0" w:noVBand="1"/>
      </w:tblPr>
      <w:tblGrid>
        <w:gridCol w:w="3603"/>
        <w:gridCol w:w="2977"/>
        <w:gridCol w:w="3118"/>
      </w:tblGrid>
      <w:tr>
        <w:tblPrEx/>
        <w:trPr>
          <w:trHeight w:val="6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постановлений/решений, вынесенных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01.01.2024 по 30.06.2024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tcW w:w="360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инспекцией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судами Новосибирской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1 статьи 9.4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262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2 статьи 9.4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3 статьи 9.4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1 статьи 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2 статьи 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3 статьи 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5 статьи 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1 статьи 9.5.1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6 статьи 19.5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статья 19.7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1 статьи 20.25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за 1 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 показывает, что основной причиной нарушений обязательных требований при строительстве, реконструкции объектов капитального строительства является систематически повторяющиеся нарушения требований проектной документации.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</w:p>
    <w:p>
      <w:pPr>
        <w:pStyle w:val="704"/>
        <w:jc w:val="center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уровня развития программы профилактической деятельности инспекции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1 полугодии 2024 года инспекцией реализованы мероприятия программы профилактики рисков причинения вреда (ущерба) охраняемым законом ценностям в рамках осуществления инспекцией регионально</w:t>
      </w:r>
      <w:r>
        <w:rPr>
          <w:rFonts w:ascii="Times New Roman" w:hAnsi="Times New Roman" w:cs="Times New Roman"/>
          <w:sz w:val="28"/>
          <w:szCs w:val="28"/>
        </w:rPr>
        <w:t xml:space="preserve">го государственного строительного надзора на территории Новосибирской области на 2024 год (</w:t>
      </w: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 w:val="28"/>
          <w:szCs w:val="28"/>
        </w:rPr>
        <w:t xml:space="preserve"> приказом инспекции от 19.12.2023 № 48).</w:t>
      </w:r>
      <w: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</w:t>
      </w:r>
      <w:r>
        <w:rPr>
          <w:rFonts w:ascii="Times New Roman" w:hAnsi="Times New Roman" w:cs="Times New Roman"/>
          <w:sz w:val="28"/>
          <w:szCs w:val="28"/>
        </w:rPr>
        <w:t xml:space="preserve">ям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2024 год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 в приложении.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27.02.2024 было проведено внеплано</w:t>
      </w:r>
      <w:r>
        <w:rPr>
          <w:rFonts w:ascii="Times New Roman" w:hAnsi="Times New Roman" w:cs="Times New Roman"/>
          <w:sz w:val="28"/>
          <w:szCs w:val="28"/>
        </w:rPr>
        <w:t xml:space="preserve">вое публичное мероприятие в форме семинара-совещания в режиме ВКС с представителями администраций муниципальных районов Новосибирской области, в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которого осуществлено консультирование по вопросам осуществления регионального государственного строительн</w:t>
      </w:r>
      <w:r>
        <w:rPr>
          <w:rFonts w:ascii="Times New Roman" w:hAnsi="Times New Roman" w:cs="Times New Roman"/>
          <w:sz w:val="28"/>
          <w:szCs w:val="28"/>
        </w:rPr>
        <w:t xml:space="preserve">ого надзора.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Инспекция обеспечивает достоверность и актуальность всей информации, связанной с профилактикой нарушений обязательных требований.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Контролируемые лица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имеют возможность использовать информационные технологии. Например, посредством 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инспекции в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ети «Интернет» по адресу: </w:t>
      </w:r>
      <w:hyperlink r:id="rId21" w:tooltip="http://gsn.nso.ru/page/328" w:history="1">
        <w:r>
          <w:rPr>
            <w:rStyle w:val="880"/>
            <w:rFonts w:ascii="Times New Roman" w:hAnsi="Times New Roman" w:eastAsia="Times New Roman"/>
            <w:sz w:val="28"/>
            <w:szCs w:val="28"/>
            <w:lang w:eastAsia="ru-RU"/>
          </w:rPr>
          <w:t xml:space="preserve">http://gsn.nso.ru/page/328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действует подписка пользователей официального сайта на рассылку электронных сообщений с информацией связанной с профилактикой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исков причинения вреда, а также иной информации важной для контролируемых лиц.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инспекция руководствуется приоритетом профилактических мероприятий по отношению к контрольным (надзорным) мероприятиям.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82"/>
        <w:ind w:firstLine="54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результате реализации программы пр</w:t>
      </w:r>
      <w:r>
        <w:rPr>
          <w:rFonts w:eastAsia="Calibri"/>
          <w:sz w:val="28"/>
          <w:szCs w:val="28"/>
          <w:lang w:eastAsia="en-US"/>
        </w:rPr>
        <w:t xml:space="preserve">офилактики произошло повышение уровня информированности, правовой грамотности контролируемых лиц по вопросам соблюдения обязательных требований, что позволило региональному государственному строительному надзору стать более о</w:t>
      </w:r>
      <w:r>
        <w:rPr>
          <w:sz w:val="28"/>
          <w:szCs w:val="28"/>
        </w:rPr>
        <w:t xml:space="preserve">ткрытым для взаимодействия с ко</w:t>
      </w:r>
      <w:r>
        <w:rPr>
          <w:sz w:val="28"/>
          <w:szCs w:val="28"/>
        </w:rPr>
        <w:t xml:space="preserve">нтролируемыми лицами в целях достижения общего для всех сторон результата – предотвращение рисков причинения вреда охраняемым законом ценностям в подконтрольной сфере общественных отношений, предупреждение нарушений контролируемыми лицами обязательных треб</w:t>
      </w:r>
      <w:r>
        <w:rPr>
          <w:sz w:val="28"/>
          <w:szCs w:val="28"/>
        </w:rPr>
        <w:t xml:space="preserve">ований и отвечать</w:t>
      </w:r>
      <w:r>
        <w:rPr>
          <w:sz w:val="28"/>
          <w:szCs w:val="28"/>
        </w:rPr>
        <w:t xml:space="preserve"> потребностям предпринимательской среды в получении качественной и доступной информации по возникающим вопросам соблюдения обязательных требований.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в 1 полугодии 2024 года программой профилактики обеспечена эффек</w:t>
      </w:r>
      <w:r>
        <w:rPr>
          <w:sz w:val="28"/>
          <w:szCs w:val="28"/>
        </w:rPr>
        <w:t xml:space="preserve">тивность профилактической работы инспекции.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z w:val="24"/>
          <w:szCs w:val="28"/>
        </w:rPr>
      </w:r>
      <w:r>
        <w:rPr>
          <w:rFonts w:ascii="Times New Roman" w:hAnsi="Times New Roman" w:cs="Times New Roman"/>
          <w:color w:val="000000"/>
          <w:sz w:val="24"/>
          <w:szCs w:val="28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Исполнение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регионального государственного строительного надзора на территории Новосибирской области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</w:r>
      <w:r>
        <w:rPr>
          <w:rFonts w:ascii="Times New Roman" w:hAnsi="Times New Roman" w:cs="Times New Roman"/>
          <w:b/>
          <w:color w:val="000000"/>
          <w:sz w:val="24"/>
          <w:szCs w:val="28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  <w:outlineLvl w:val="0"/>
      </w:pPr>
      <w:r>
        <w:rPr>
          <w:rFonts w:ascii="Times New Roman" w:hAnsi="Times New Roman" w:cs="Times New Roman"/>
          <w:b/>
          <w:sz w:val="24"/>
          <w:szCs w:val="28"/>
        </w:rPr>
        <w:t xml:space="preserve">за 1 полугодие 2024 года</w:t>
      </w: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tbl>
      <w:tblPr>
        <w:tblW w:w="14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846"/>
        <w:gridCol w:w="3923"/>
        <w:gridCol w:w="19"/>
        <w:gridCol w:w="6359"/>
      </w:tblGrid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№ </w:t>
            </w:r>
            <w:r>
              <w:rPr>
                <w:rFonts w:ascii="Times New Roman" w:hAnsi="Times New Roman" w:eastAsia="Calibri" w:cs="Times New Roman"/>
              </w:rPr>
              <w:t xml:space="preserve">п</w:t>
            </w:r>
            <w:r>
              <w:rPr>
                <w:rFonts w:ascii="Times New Roman" w:hAnsi="Times New Roman" w:eastAsia="Calibri" w:cs="Times New Roman"/>
              </w:rPr>
              <w:t xml:space="preserve">/п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Форма профилактических меро</w:t>
            </w:r>
            <w:r>
              <w:rPr>
                <w:rFonts w:ascii="Times New Roman" w:hAnsi="Times New Roman" w:eastAsia="Calibri" w:cs="Times New Roman"/>
              </w:rPr>
              <w:t xml:space="preserve">приятий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3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Периодичность проведения, сроки исполнения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2"/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Результаты выполнения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trHeight w:val="489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14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 нормативных правовых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регулирующих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строительного надзора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не позднее 30 декабря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актуализация в течение 5 рабочих дней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даты изменения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утраты юридической силы, принятия новых нормативных правовых актов.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Тексты нормативных правовых актов, регулирующих осуществление регионального государственного строительного надзора на территории Новосибирской области, размещены на официальном сайте инс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пекции в сети «Интернет» по адресу: </w:t>
            </w:r>
            <w:hyperlink r:id="rId22" w:tooltip="http://gsn.nso.ru/page/4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http://gsn.nso.ru/page/48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вступления в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соответствующих сведений 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 официальном сайте инспекции в сети «Интернет» – в течение 5 рабочих дней со дня принятия в установленном порядке соответствующих изменений или принятия новых нормативных правовых актов.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Тексты нормативных правовых актов, регулирующих осуществление регион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государственного строительного надзора на территории Новосибирской области, размещены на официальном сайте инспекции в сети «Интернет» по адресу: </w:t>
            </w:r>
            <w:hyperlink r:id="rId23" w:tooltip="http://gsn.nso.ru/page/4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http://gsn.nso.ru/page/48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"/>
                <w:szCs w:val="24"/>
              </w:rPr>
            </w:pPr>
            <w:r>
              <w:rPr>
                <w:rFonts w:ascii="Times New Roman" w:hAnsi="Times New Roman" w:eastAsia="Calibri" w:cs="Times New Roman"/>
                <w:sz w:val="2"/>
                <w:szCs w:val="24"/>
              </w:rPr>
            </w:r>
            <w:r>
              <w:rPr>
                <w:rFonts w:ascii="Times New Roman" w:hAnsi="Times New Roman" w:eastAsia="Calibri" w:cs="Times New Roman"/>
                <w:sz w:val="2"/>
                <w:szCs w:val="24"/>
              </w:rPr>
            </w:r>
            <w:r>
              <w:rPr>
                <w:rFonts w:ascii="Times New Roman" w:hAnsi="Times New Roman" w:eastAsia="Calibri" w:cs="Times New Roman"/>
                <w:sz w:val="2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ксты нормативных правовых актов доступны для скачивания, поддерживаются в актуальном состоянии.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– в течение трех  рабочих дней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даты утверждения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внесения изменений в Перечень нормативных правовых актов.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надзора,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твержден приказом от 22.03.2022 № 16, размещен на официальном сайте инспекции в сети «Интернет» по адресу: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24" w:tooltip="https://gsn.nso.ru/page/550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https://gsn.nso.ru/page/550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trike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требований, разработанного и утвержденного в соответствии с Федеральным </w:t>
            </w:r>
            <w:hyperlink r:id="rId25" w:tooltip="consultantplus://offline/ref=9ACAA89C6FF58C33776267CAD813686974829EFE2BEBB854C524F083A7349DB9E6BF8B5B80C72015E2BA0D6973903742AEDF24DC257EB02352s0I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не позднее 30 декабря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актуа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лизация в течение 15 рабочих дней с даты: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 вступления в силу нормативного правового акта, которым вносятся изменения в состав и (или) содержание обязательного требования;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 принятия новых нормативных правовых актов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Руководство по соблюдению обязательных требований (утверждено приказом инспекции государственного строительного надзора Новосибирской области </w:t>
            </w:r>
            <w:r>
              <w:rPr>
                <w:rFonts w:ascii="Times New Roman" w:hAnsi="Times New Roman" w:eastAsia="Calibri" w:cs="Times New Roman"/>
                <w:strike w:val="0"/>
                <w:sz w:val="24"/>
                <w:szCs w:val="24"/>
                <w:highlight w:val="none"/>
              </w:rPr>
              <w:t xml:space="preserve">от 23.05.2024 № 21</w:t>
            </w:r>
            <w:r>
              <w:rPr>
                <w:rFonts w:ascii="Times New Roman" w:hAnsi="Times New Roman" w:eastAsia="Calibri" w:cs="Times New Roman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поддерживается в актуальном состоянии.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26" w:tooltip="http://gsn.nso.ru/page/329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o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.ru/page/329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912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индикаторов риска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Утвержден постановлением Правительства Новосибирской обл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асти от 30.12.2021 № 574-п, размещен на официальном сайте инспекции в сети «Интернет» по адресу:  </w:t>
            </w:r>
            <w:hyperlink r:id="rId27" w:tooltip="https://gsn.nso.ru/page/326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ru/page/326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912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государственный строительный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течение пяти рабочих дней вносит изменения в реестр со дня пол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учения информации, документа, являющихся основанием для внесения изменений в реестр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Реестр объектов капитального строительства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поддерживается в актуальном состоянии 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своевременно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обновляется на сайте инспекции по адресу: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28" w:tooltip="https://gsn.nso.ru/page/549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https://gsn.nso.ru/page/549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912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Утверждение – не позднее 19 декабря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на официальном сайте инспекции в сети «Интернет»  – в течение пяти дней со дня утверждения прог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раммы профилактики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Утверждена приказом инспекции от 19.12.2023 № 48 и размещена на официальном сайте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инспекции в сети «Интернет» по адресу: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29" w:tooltip="https://gsn.nso.ru/page/32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e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/328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377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исчерпывающего перечня сведений, которые могут запрашиваться инспекцией у контролируемого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течение пяти дней с момента утверждения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Исчерпывающий перечень сведений, которые могут запрашиваться инспекцией у контролируемого лица,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официальном сайте инспекции в сети «Интернет» по адресу</w:t>
            </w:r>
            <w:r>
              <w:t xml:space="preserve">: </w:t>
            </w:r>
            <w:r/>
          </w:p>
          <w:p>
            <w:pPr>
              <w:jc w:val="both"/>
              <w:spacing w:after="0" w:line="240" w:lineRule="auto"/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0" w:tooltip="http://gsn.nso.ru/page/347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http://gsn.nso.ru/page/347</w:t>
              </w:r>
            </w:hyperlink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ff" w:themeColor="hyperlink"/>
                <w:sz w:val="10"/>
                <w:szCs w:val="24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ff" w:themeColor="hyperlink"/>
                <w:sz w:val="10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000ff" w:themeColor="hyperlink"/>
                <w:sz w:val="10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000ff" w:themeColor="hyperlink"/>
                <w:sz w:val="10"/>
                <w:szCs w:val="24"/>
                <w:u w:val="single"/>
              </w:rPr>
            </w:r>
          </w:p>
        </w:tc>
      </w:tr>
      <w:tr>
        <w:tblPrEx/>
        <w:trPr>
          <w:trHeight w:val="1557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способах получения консультаций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позднее 30 декабря предшествующего года, актуализация – в течение 10 рабочих дней с момента внесения соответствующих изменений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способах получения консу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льтаций по вопросам соблюдения обязательных требований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размещены                       на официальном сайте инспекции в сети «Интернет»                 по адресу: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1" w:tooltip="http://gsn.nso.ru/page/341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page/341</w:t>
              </w:r>
            </w:hyperlink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525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порядке досудебного обжалования решений инспекции, действий (бездействия) ее должностных лиц (далее – порядок досудебного обжалования)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не позднее 30 декабря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актуализация порядка в течение 15 рабочих дней с момента внесения соответствующих изменений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порядке досудебного обжалования решений контрольного (надзорного) органа, действий (бездействия) его должностных лиц  размещены на сайте инспекции: </w:t>
            </w:r>
            <w:hyperlink r:id="rId32" w:tooltip="https://gsn.nso.ru/page/534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https://gsn.nso.ru/page/534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028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доклада, содержащего результаты обобщения правоприменительной практики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утверждение – ежегодно не позднее 15 марта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официальном сайте инспекции в сети «Интернет» 29.02.2024.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3" w:tooltip="https://gsn.nso.ru/page/18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https://gsn.nso.ru/page/188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докладов об осуществлении инспекцией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и утверждение – не позднее 15 марта года, следующего за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Доклад об осуществлении инспекцией регионального государственного строительного надзора 12.03.2024 размещен на сайте Реформа КНД (https://monitoring.ar.gov.ru), далее размещен на сайте инспекции </w:t>
            </w:r>
            <w:hyperlink r:id="rId34" w:tooltip="https://gsn.nso.ru/page/342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https://gsn.nso.ru/page/342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сообщений о результатах анализа, оценки состояния подконтрольной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– ежеквартально не позднее 20 числа, месяца, следующего за отчетным кварталом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официальном сайте инспекции в сети «Интернет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» 18.07.2024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/>
            <w:hyperlink r:id="rId35" w:tooltip="https://gsn.nso.ru/page/33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https://gsn.nso.ru/page/338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обобщения правоприменительной практики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– еж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еквартально не позднее 20 числа, месяца, следующего за отчетным кварталом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официальном сайте инспекции в сети «Интер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нет» 19.07.2024.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6" w:tooltip="http://gsn.nso.ru/page/33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http://gsn.nso.ru/page/338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ежегодно не позднее 15 марта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официальном сайте инспекции в сети «Интернет» 29.02.2024.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7" w:tooltip="https://gsn.nso.ru/page/18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https://gsn.nso.ru/page/188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обсуждения правоприменительной практики надзорной деятельности инспекции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Проведены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публичные обсуждения правоприменительной практики надзорной деятельности инспекции государственного строительного надзо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 Новосибирской области за 2023 год. Все материалы размещены на официальном сайте инспекции по адресу: </w:t>
            </w:r>
            <w:hyperlink r:id="rId38" w:tooltip="https://gsn.nso.ru/page/332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https://gsn.nso.ru/page/332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недопустимост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Объявлено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225 предостережений о недопустимости нарушений обязательных требований,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водом для которых явилась информа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готовящихся нарушениях обязательных требований или признаках нарушений обязательных требований.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14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5.1.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обязательного  профилактического визита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течение трёх месяцев со дня поступления в инспекцию от контролируемого лица извещения о начале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работ по строительству, реконструкции объекта капитального строительства, направленного в соответствии с частью 5 статьи 52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140 профилактических визитов.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99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5.2.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профилактического визита по инициативе контролируемого лица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сроки, согласованные с контролируемым лицом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Проведено 3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профилактических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визита.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6.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должностными лицами инспекции консультирования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 по телефону;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 посредством видео-конференц-связи;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 на личном прием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либо в ходе проведения профилактического мероприятия, контрольного (надзорного)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мере обращения за консультацией контролируемых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trike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Оказано</w:t>
            </w:r>
            <w:r>
              <w:rPr>
                <w:rFonts w:ascii="Times New Roman" w:hAnsi="Times New Roman" w:eastAsia="Calibri" w:cs="Times New Roman"/>
                <w:strike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1012 консультаций.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профилактики нарушений обязательных требований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Новосибирской области на 2023 год и плановый период 2024-2025 год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инспекции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доклада до 01.02.2024;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доклада на официальном сайте инспекции в сети «Интернет» до 15.02.2024.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Доклад об итогах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реализации программы профилактики нарушений обязательных требований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области регионального государственного строительног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надзора на 2023 год (утвержден приказом инспекции государственного строительного надзора Новосибирской области от 23.01.2024 № 3) 23.01.2024 размещен на сайте инспекции: </w:t>
            </w:r>
            <w:hyperlink r:id="rId39" w:tooltip="https://gsn.nso.ru/page/330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/gsn.nso.ru/page/330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25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публичного мероприятия в форме семинара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«дня открытых дверей»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 раз в первом полугодии – не позднее 30.06.2024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28.05.2024 проведено публичное мероприятие в формате «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день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открытых дверей».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 материалы опуб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ликованы на сайте инспекции по адресу: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hyperlink r:id="rId40" w:tooltip="https://gsn.nso.ru/page/994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https://gsn.nso.ru/page/994</w:t>
              </w:r>
            </w:hyperlink>
            <w:r>
              <w:t xml:space="preserve"> 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keepLines/>
        <w:keepNext/>
        <w:spacing w:after="0" w:line="240" w:lineRule="auto"/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</w:p>
    <w:p>
      <w:pPr>
        <w:ind w:left="11340"/>
        <w:jc w:val="center"/>
        <w:keepLines/>
        <w:keepNext/>
        <w:spacing w:after="0" w:line="240" w:lineRule="auto"/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89113634"/>
      <w:docPartObj>
        <w:docPartGallery w:val="Page Numbers (Top of Page)"/>
        <w:docPartUnique w:val="true"/>
      </w:docPartObj>
      <w:rPr/>
    </w:sdtPr>
    <w:sdtContent>
      <w:p>
        <w:pPr>
          <w:pStyle w:val="890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90" w:hanging="360"/>
        <w:tabs>
          <w:tab w:val="num" w:pos="99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10" w:hanging="360"/>
        <w:tabs>
          <w:tab w:val="num" w:pos="171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430" w:hanging="360"/>
        <w:tabs>
          <w:tab w:val="num" w:pos="243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150" w:hanging="360"/>
        <w:tabs>
          <w:tab w:val="num" w:pos="315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870" w:hanging="360"/>
        <w:tabs>
          <w:tab w:val="num" w:pos="387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590" w:hanging="360"/>
        <w:tabs>
          <w:tab w:val="num" w:pos="459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10" w:hanging="360"/>
        <w:tabs>
          <w:tab w:val="num" w:pos="531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030" w:hanging="360"/>
        <w:tabs>
          <w:tab w:val="num" w:pos="603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750" w:hanging="360"/>
        <w:tabs>
          <w:tab w:val="num" w:pos="675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2"/>
    <w:link w:val="724"/>
    <w:uiPriority w:val="10"/>
    <w:rPr>
      <w:sz w:val="48"/>
      <w:szCs w:val="48"/>
    </w:rPr>
  </w:style>
  <w:style w:type="character" w:styleId="698">
    <w:name w:val="Subtitle Char"/>
    <w:basedOn w:val="712"/>
    <w:link w:val="726"/>
    <w:uiPriority w:val="11"/>
    <w:rPr>
      <w:sz w:val="24"/>
      <w:szCs w:val="24"/>
    </w:rPr>
  </w:style>
  <w:style w:type="character" w:styleId="699">
    <w:name w:val="Quote Char"/>
    <w:link w:val="728"/>
    <w:uiPriority w:val="29"/>
    <w:rPr>
      <w:i/>
    </w:rPr>
  </w:style>
  <w:style w:type="character" w:styleId="700">
    <w:name w:val="Intense Quote Char"/>
    <w:link w:val="730"/>
    <w:uiPriority w:val="30"/>
    <w:rPr>
      <w:i/>
    </w:rPr>
  </w:style>
  <w:style w:type="character" w:styleId="701">
    <w:name w:val="Endnote Text Char"/>
    <w:link w:val="862"/>
    <w:uiPriority w:val="99"/>
    <w:rPr>
      <w:sz w:val="20"/>
    </w:rPr>
  </w:style>
  <w:style w:type="paragraph" w:styleId="702" w:default="1">
    <w:name w:val="Normal"/>
    <w:qFormat/>
  </w:style>
  <w:style w:type="paragraph" w:styleId="703">
    <w:name w:val="Heading 1"/>
    <w:basedOn w:val="702"/>
    <w:next w:val="702"/>
    <w:link w:val="87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4">
    <w:name w:val="Heading 2"/>
    <w:basedOn w:val="702"/>
    <w:next w:val="702"/>
    <w:link w:val="87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702"/>
    <w:next w:val="702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712"/>
    <w:link w:val="724"/>
    <w:uiPriority w:val="10"/>
    <w:rPr>
      <w:sz w:val="48"/>
      <w:szCs w:val="48"/>
    </w:rPr>
  </w:style>
  <w:style w:type="paragraph" w:styleId="726">
    <w:name w:val="Subtitle"/>
    <w:basedOn w:val="702"/>
    <w:next w:val="702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basedOn w:val="712"/>
    <w:link w:val="726"/>
    <w:uiPriority w:val="11"/>
    <w:rPr>
      <w:sz w:val="24"/>
      <w:szCs w:val="24"/>
    </w:rPr>
  </w:style>
  <w:style w:type="paragraph" w:styleId="728">
    <w:name w:val="Quote"/>
    <w:basedOn w:val="702"/>
    <w:next w:val="702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2"/>
    <w:next w:val="702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12"/>
    <w:uiPriority w:val="99"/>
  </w:style>
  <w:style w:type="character" w:styleId="733" w:customStyle="1">
    <w:name w:val="Footer Char"/>
    <w:basedOn w:val="712"/>
    <w:uiPriority w:val="99"/>
  </w:style>
  <w:style w:type="paragraph" w:styleId="734">
    <w:name w:val="Caption"/>
    <w:basedOn w:val="702"/>
    <w:next w:val="70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 w:customStyle="1">
    <w:name w:val="Plain Table 1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71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 w:customStyle="1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 w:customStyle="1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 w:customStyle="1">
    <w:name w:val="Footnote Text Char"/>
    <w:uiPriority w:val="99"/>
    <w:rPr>
      <w:sz w:val="18"/>
    </w:rPr>
  </w:style>
  <w:style w:type="paragraph" w:styleId="862">
    <w:name w:val="endnote text"/>
    <w:basedOn w:val="702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12"/>
    <w:uiPriority w:val="99"/>
    <w:semiHidden/>
    <w:unhideWhenUsed/>
    <w:rPr>
      <w:vertAlign w:val="superscript"/>
    </w:rPr>
  </w:style>
  <w:style w:type="paragraph" w:styleId="865">
    <w:name w:val="toc 1"/>
    <w:basedOn w:val="702"/>
    <w:next w:val="702"/>
    <w:uiPriority w:val="39"/>
    <w:unhideWhenUsed/>
    <w:pPr>
      <w:spacing w:after="57"/>
    </w:pPr>
  </w:style>
  <w:style w:type="paragraph" w:styleId="866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67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68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69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0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1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72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73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702"/>
    <w:next w:val="702"/>
    <w:uiPriority w:val="99"/>
    <w:unhideWhenUsed/>
    <w:pPr>
      <w:spacing w:after="0"/>
    </w:pPr>
  </w:style>
  <w:style w:type="character" w:styleId="876" w:customStyle="1">
    <w:name w:val="Заголовок 1 Знак"/>
    <w:basedOn w:val="712"/>
    <w:link w:val="70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77" w:customStyle="1">
    <w:name w:val="Заголовок 2 Знак"/>
    <w:basedOn w:val="712"/>
    <w:link w:val="70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7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879">
    <w:name w:val="Table Grid"/>
    <w:basedOn w:val="7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0">
    <w:name w:val="Hyperlink"/>
    <w:basedOn w:val="712"/>
    <w:uiPriority w:val="99"/>
    <w:unhideWhenUsed/>
    <w:rPr>
      <w:color w:val="0000ff" w:themeColor="hyperlink"/>
      <w:u w:val="single"/>
    </w:rPr>
  </w:style>
  <w:style w:type="paragraph" w:styleId="881" w:customStyle="1">
    <w:name w:val="ConsPlusNormal"/>
    <w:pPr>
      <w:spacing w:after="0" w:line="240" w:lineRule="auto"/>
    </w:pPr>
    <w:rPr>
      <w:rFonts w:ascii="Arial" w:hAnsi="Arial" w:eastAsia="Calibri" w:cs="Arial"/>
      <w:sz w:val="20"/>
      <w:szCs w:val="20"/>
    </w:rPr>
  </w:style>
  <w:style w:type="paragraph" w:styleId="882" w:customStyle="1">
    <w:name w:val="formattext"/>
    <w:basedOn w:val="7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>
    <w:name w:val="No Spacing"/>
    <w:uiPriority w:val="1"/>
    <w:qFormat/>
    <w:pPr>
      <w:spacing w:after="0" w:line="240" w:lineRule="auto"/>
    </w:pPr>
  </w:style>
  <w:style w:type="paragraph" w:styleId="884" w:customStyle="1">
    <w:name w:val="Стиль"/>
    <w:pPr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85">
    <w:name w:val="footnote text"/>
    <w:basedOn w:val="702"/>
    <w:link w:val="88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6" w:customStyle="1">
    <w:name w:val="Текст сноски Знак"/>
    <w:basedOn w:val="712"/>
    <w:link w:val="885"/>
    <w:uiPriority w:val="99"/>
    <w:semiHidden/>
    <w:rPr>
      <w:sz w:val="20"/>
      <w:szCs w:val="20"/>
    </w:rPr>
  </w:style>
  <w:style w:type="character" w:styleId="887">
    <w:name w:val="footnote reference"/>
    <w:basedOn w:val="712"/>
    <w:uiPriority w:val="99"/>
    <w:semiHidden/>
    <w:unhideWhenUsed/>
    <w:rPr>
      <w:vertAlign w:val="superscript"/>
    </w:rPr>
  </w:style>
  <w:style w:type="paragraph" w:styleId="888">
    <w:name w:val="Balloon Text"/>
    <w:basedOn w:val="702"/>
    <w:link w:val="8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712"/>
    <w:link w:val="888"/>
    <w:uiPriority w:val="99"/>
    <w:semiHidden/>
    <w:rPr>
      <w:rFonts w:ascii="Tahoma" w:hAnsi="Tahoma" w:cs="Tahoma"/>
      <w:sz w:val="16"/>
      <w:szCs w:val="16"/>
    </w:rPr>
  </w:style>
  <w:style w:type="paragraph" w:styleId="890">
    <w:name w:val="Header"/>
    <w:basedOn w:val="702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712"/>
    <w:link w:val="890"/>
    <w:uiPriority w:val="99"/>
  </w:style>
  <w:style w:type="paragraph" w:styleId="892">
    <w:name w:val="Footer"/>
    <w:basedOn w:val="702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712"/>
    <w:link w:val="892"/>
    <w:uiPriority w:val="99"/>
  </w:style>
  <w:style w:type="paragraph" w:styleId="894">
    <w:name w:val="List Paragraph"/>
    <w:basedOn w:val="702"/>
    <w:uiPriority w:val="34"/>
    <w:qFormat/>
    <w:pPr>
      <w:contextualSpacing/>
      <w:ind w:left="720"/>
    </w:pPr>
  </w:style>
  <w:style w:type="character" w:styleId="895">
    <w:name w:val="FollowedHyperlink"/>
    <w:basedOn w:val="712"/>
    <w:uiPriority w:val="99"/>
    <w:semiHidden/>
    <w:unhideWhenUsed/>
    <w:rPr>
      <w:color w:val="800080" w:themeColor="followedHyperlink"/>
      <w:u w:val="single"/>
    </w:rPr>
  </w:style>
  <w:style w:type="character" w:styleId="896">
    <w:name w:val="Strong"/>
    <w:basedOn w:val="712"/>
    <w:uiPriority w:val="22"/>
    <w:qFormat/>
    <w:rPr>
      <w:b/>
      <w:bCs/>
    </w:rPr>
  </w:style>
  <w:style w:type="character" w:styleId="897">
    <w:name w:val="annotation reference"/>
    <w:basedOn w:val="712"/>
    <w:uiPriority w:val="99"/>
    <w:semiHidden/>
    <w:unhideWhenUsed/>
    <w:rPr>
      <w:sz w:val="16"/>
      <w:szCs w:val="16"/>
    </w:rPr>
  </w:style>
  <w:style w:type="paragraph" w:styleId="898">
    <w:name w:val="annotation text"/>
    <w:basedOn w:val="702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12"/>
    <w:link w:val="898"/>
    <w:uiPriority w:val="99"/>
    <w:semiHidden/>
    <w:rPr>
      <w:sz w:val="20"/>
      <w:szCs w:val="20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sz w:val="20"/>
      <w:szCs w:val="20"/>
    </w:rPr>
  </w:style>
  <w:style w:type="table" w:styleId="902" w:customStyle="1">
    <w:name w:val="Сетка таблицы1"/>
    <w:basedOn w:val="713"/>
    <w:next w:val="8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3" w:customStyle="1">
    <w:name w:val="Сетка таблицы2"/>
    <w:basedOn w:val="713"/>
    <w:next w:val="8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ocs.cntd.ru/document/432837794" TargetMode="External"/><Relationship Id="rId12" Type="http://schemas.openxmlformats.org/officeDocument/2006/relationships/chart" Target="charts/chart1.xml" /><Relationship Id="rId13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14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15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16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17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18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19" Type="http://schemas.openxmlformats.org/officeDocument/2006/relationships/hyperlink" Target="consultantplus://offline/ref=67693AB61EC29F808AB3E1B6B07CD5D977C62F008FAEE4C1C77ABA12BD5B1C5B815268EBAD62C803A814C08E302892897DC3F227E4b1U7I" TargetMode="External"/><Relationship Id="rId20" Type="http://schemas.openxmlformats.org/officeDocument/2006/relationships/chart" Target="charts/chart2.xml" /><Relationship Id="rId21" Type="http://schemas.openxmlformats.org/officeDocument/2006/relationships/hyperlink" Target="http://gsn.nso.ru/page/328" TargetMode="External"/><Relationship Id="rId22" Type="http://schemas.openxmlformats.org/officeDocument/2006/relationships/hyperlink" Target="http://gsn.nso.ru/page/48" TargetMode="External"/><Relationship Id="rId23" Type="http://schemas.openxmlformats.org/officeDocument/2006/relationships/hyperlink" Target="http://gsn.nso.ru/page/48" TargetMode="External"/><Relationship Id="rId24" Type="http://schemas.openxmlformats.org/officeDocument/2006/relationships/hyperlink" Target="https://gsn.nso.ru/page/550" TargetMode="External"/><Relationship Id="rId25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26" Type="http://schemas.openxmlformats.org/officeDocument/2006/relationships/hyperlink" Target="http://gsn.nso.ru/page/329" TargetMode="External"/><Relationship Id="rId27" Type="http://schemas.openxmlformats.org/officeDocument/2006/relationships/hyperlink" Target="https://gsn.nso.ru/page/326" TargetMode="External"/><Relationship Id="rId28" Type="http://schemas.openxmlformats.org/officeDocument/2006/relationships/hyperlink" Target="https://gsn.nso.ru/page/549" TargetMode="External"/><Relationship Id="rId29" Type="http://schemas.openxmlformats.org/officeDocument/2006/relationships/hyperlink" Target="https://gsn.nso.ru/page/328" TargetMode="External"/><Relationship Id="rId30" Type="http://schemas.openxmlformats.org/officeDocument/2006/relationships/hyperlink" Target="http://gsn.nso.ru/page/347" TargetMode="External"/><Relationship Id="rId31" Type="http://schemas.openxmlformats.org/officeDocument/2006/relationships/hyperlink" Target="http://gsn.nso.ru/page/341" TargetMode="External"/><Relationship Id="rId32" Type="http://schemas.openxmlformats.org/officeDocument/2006/relationships/hyperlink" Target="https://gsn.nso.ru/page/534" TargetMode="External"/><Relationship Id="rId33" Type="http://schemas.openxmlformats.org/officeDocument/2006/relationships/hyperlink" Target="https://gsn.nso.ru/page/188" TargetMode="External"/><Relationship Id="rId34" Type="http://schemas.openxmlformats.org/officeDocument/2006/relationships/hyperlink" Target="https://gsn.nso.ru/page/342" TargetMode="External"/><Relationship Id="rId35" Type="http://schemas.openxmlformats.org/officeDocument/2006/relationships/hyperlink" Target="https://gsn.nso.ru/page/338" TargetMode="External"/><Relationship Id="rId36" Type="http://schemas.openxmlformats.org/officeDocument/2006/relationships/hyperlink" Target="http://gsn.nso.ru/page/338" TargetMode="External"/><Relationship Id="rId37" Type="http://schemas.openxmlformats.org/officeDocument/2006/relationships/hyperlink" Target="https://gsn.nso.ru/page/188" TargetMode="External"/><Relationship Id="rId38" Type="http://schemas.openxmlformats.org/officeDocument/2006/relationships/hyperlink" Target="https://gsn.nso.ru/page/332" TargetMode="External"/><Relationship Id="rId39" Type="http://schemas.openxmlformats.org/officeDocument/2006/relationships/hyperlink" Target="https://gsn.nso.ru/page/330" TargetMode="External"/><Relationship Id="rId40" Type="http://schemas.openxmlformats.org/officeDocument/2006/relationships/hyperlink" Target="https://gsn.nso.ru/page/99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r>
              <a:rPr lang="ru-RU" sz="1100" b="1" i="0">
                <a:latin typeface="Times New Roman"/>
                <a:cs typeface="Times New Roman"/>
              </a:rPr>
              <a:t>Рисунок 1. Распределение  объектов государственного надзора по категориям риска по состоянию </a:t>
            </a:r>
            <a:r>
              <a:rPr lang="ru-RU" sz="1100" b="1" i="0">
                <a:solidFill>
                  <a:sysClr val="windowText" lastClr="000000"/>
                </a:solidFill>
                <a:latin typeface="Times New Roman"/>
                <a:cs typeface="Times New Roman"/>
              </a:rPr>
              <a:t>на 01.07.2024</a:t>
            </a:r>
            <a:endParaRPr lang="ru-RU" sz="1100">
              <a:solidFill>
                <a:sysClr val="windowText" lastClr="000000"/>
              </a:solidFill>
              <a:highlight>
                <a:srgbClr val="FFFF00"/>
              </a:highlight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092520"/>
          <c:y val="0.041130"/>
        </c:manualLayout>
      </c:layout>
      <c:overlay val="0"/>
      <c:spPr bwMode="auto">
        <a:prstGeom prst="rect">
          <a:avLst/>
        </a:prstGeom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2620"/>
          <c:y val="0.311220"/>
          <c:w val="0.632910"/>
          <c:h val="0.64007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Значительный риск</c:v>
                </c:pt>
              </c:strCache>
            </c:strRef>
          </c:tx>
          <c:invertIfNegative val="0"/>
          <c:dLbls>
            <c:dLbl>
              <c:idx val="0"/>
              <c:dLblPos val="outEnd"/>
              <c:layout>
                <c:manualLayout>
                  <c:x val="-0.002260"/>
                  <c:y val="0.0713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Лист1!$A$2</c:f>
              <c:strCache>
                <c:ptCount val="1"/>
                <c:pt idx="0">
                  <c:v xml:space="preserve"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196</c:v>
                </c:pt>
              </c:numCache>
            </c:numRef>
          </c:val>
        </c:ser>
        <c:dLbls>
          <c:dLblPos val="ctr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axId val="133016576"/>
        <c:axId val="133022464"/>
      </c:barChart>
      <c:catAx>
        <c:axId val="133016576"/>
        <c:scaling>
          <c:orientation val="minMax"/>
        </c:scaling>
        <c:delete val="1"/>
        <c:axPos val="b"/>
        <c:majorTickMark val="out"/>
        <c:minorTickMark val="none"/>
        <c:tickLblPos val="nextTo"/>
        <c:crossAx val="133022464"/>
        <c:crosses val="autoZero"/>
        <c:auto val="1"/>
        <c:lblAlgn val="ctr"/>
        <c:lblOffset val="100"/>
        <c:noMultiLvlLbl val="0"/>
      </c:catAx>
      <c:valAx>
        <c:axId val="133022464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33016576"/>
        <c:crosses val="autoZero"/>
        <c:crossBetween val="between"/>
      </c:valAx>
      <c:spPr bwMode="auto">
        <a:prstGeom prst="rect">
          <a:avLst/>
        </a:prstGeom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/>
                <a:cs typeface="Times New Roman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Рисунок 2. Виды административных наказаний </a:t>
            </a:r>
            <a:endParaRPr lang="ru-RU"/>
          </a:p>
          <a:p>
            <a:pPr>
              <a:defRPr>
                <a:solidFill>
                  <a:sysClr val="windowText" lastClr="000000"/>
                </a:solidFill>
                <a:latin typeface="Times New Roman"/>
                <a:cs typeface="Times New Roman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за совершение административных правонарушений </a:t>
            </a:r>
            <a:endParaRPr lang="ru-RU"/>
          </a:p>
          <a:p>
            <a:pPr>
              <a:defRPr>
                <a:solidFill>
                  <a:sysClr val="windowText" lastClr="000000"/>
                </a:solidFill>
                <a:latin typeface="Times New Roman"/>
                <a:cs typeface="Times New Roman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на 01.07.2024 г.</a:t>
            </a:r>
            <a:endParaRPr/>
          </a:p>
        </c:rich>
      </c:tx>
      <c:layout>
        <c:manualLayout>
          <c:xMode val="edge"/>
          <c:yMode val="edge"/>
          <c:x val="0.099260"/>
          <c:y val="0.02993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7460"/>
          <c:y val="0.189470"/>
          <c:w val="0.642760"/>
          <c:h val="0.44488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Всего постановлений/решений  инспекции по состоянию на 01.07.2024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4670"/>
                  <c:y val="0.0062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02440"/>
                  <c:y val="0.01088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02330"/>
                  <c:y val="0.00843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00000"/>
                  <c:y val="0.0112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Лист1!$A$2:$A$5</c:f>
              <c:strCache>
                <c:ptCount val="4"/>
                <c:pt idx="0">
                  <c:v>Предупреждение</c:v>
                </c:pt>
                <c:pt idx="1">
                  <c:v xml:space="preserve">Административный штраф </c:v>
                </c:pt>
                <c:pt idx="2">
                  <c:v xml:space="preserve">Административное приостановление деятельности</c:v>
                </c:pt>
                <c:pt idx="3">
                  <c:v xml:space="preserve">Отказано в привлечении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143</c:v>
                </c:pt>
                <c:pt idx="1">
                  <c:v>167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Всего постановлений/решений судов на 01.07.2024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0000"/>
                  <c:y val="0.01138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04740"/>
                  <c:y val="0.01498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02330"/>
                  <c:y val="0.0112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00000"/>
                  <c:y val="0.00843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Лист1!$A$2:$A$5</c:f>
              <c:strCache>
                <c:ptCount val="4"/>
                <c:pt idx="0">
                  <c:v>Предупреждение</c:v>
                </c:pt>
                <c:pt idx="1">
                  <c:v xml:space="preserve">Административный штраф </c:v>
                </c:pt>
                <c:pt idx="2">
                  <c:v xml:space="preserve">Административное приостановление деятельности</c:v>
                </c:pt>
                <c:pt idx="3">
                  <c:v xml:space="preserve">Отказано в привлечении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axId val="79563008"/>
        <c:axId val="79618048"/>
      </c:barChart>
      <c:catAx>
        <c:axId val="79563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1800000"/>
          <a:lstStyle/>
          <a:p>
            <a:pPr>
              <a:defRPr/>
            </a:pPr>
            <a:endParaRPr lang="ru-RU"/>
          </a:p>
        </c:txPr>
        <c:crossAx val="79618048"/>
        <c:crosses val="autoZero"/>
        <c:auto val="1"/>
        <c:lblAlgn val="ctr"/>
        <c:lblOffset val="100"/>
        <c:noMultiLvlLbl val="0"/>
      </c:catAx>
      <c:valAx>
        <c:axId val="7961804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7956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0890"/>
          <c:y val="0.278320"/>
          <c:w val="0.223960"/>
          <c:h val="0.501400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6166A1-577C-4557-BFCD-CCCC0FE4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revision>25</cp:revision>
  <dcterms:created xsi:type="dcterms:W3CDTF">2024-07-15T13:50:00Z</dcterms:created>
  <dcterms:modified xsi:type="dcterms:W3CDTF">2024-07-18T06:43:29Z</dcterms:modified>
</cp:coreProperties>
</file>