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комиссии по соблюдению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гражданских</w:t>
      </w:r>
      <w:r>
        <w:rPr>
          <w:rFonts w:ascii="Times New Roman" w:hAnsi="Times New Roman" w:cs="Times New Roman"/>
          <w:sz w:val="26"/>
          <w:szCs w:val="26"/>
        </w:rPr>
        <w:t xml:space="preserve"> служащих</w:t>
      </w:r>
      <w:r>
        <w:rPr>
          <w:rFonts w:ascii="Times New Roman" w:hAnsi="Times New Roman" w:cs="Times New Roman"/>
          <w:sz w:val="26"/>
          <w:szCs w:val="26"/>
        </w:rPr>
        <w:t xml:space="preserve"> и урегулированию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инспекции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строительного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надзора Новосибирской области </w:t>
      </w:r>
    </w:p>
    <w:p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(протокол от 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3.03</w:t>
      </w:r>
      <w:r>
        <w:rPr>
          <w:rFonts w:ascii="Times New Roman" w:hAnsi="Times New Roman" w:cs="Times New Roman"/>
          <w:sz w:val="26"/>
          <w:szCs w:val="26"/>
        </w:rPr>
        <w:t xml:space="preserve">.20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</w:p>
    <w:p>
      <w:pPr>
        <w:jc w:val="right"/>
      </w:pPr>
    </w:p>
    <w:tbl>
      <w:tblPr>
        <w:tblW w:w="5000" w:type="pct"/>
        <w:tblCellSpacing w:w="0" w:type="dxa"/>
        <w:tblLayout w:type="fixed"/>
        <w:tblCellMar>
          <w:left w:w="72" w:type="dxa"/>
          <w:top w:w="72" w:type="dxa"/>
          <w:right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065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лан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работы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омиссии по соблюдению требований к служебному поведению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государственных гражданских служащих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инспекции государственного строительного надзора 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lang w:eastAsia="ru-RU"/>
              </w:rPr>
              <w:t xml:space="preserve">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66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4555"/>
              <w:gridCol w:w="2268"/>
              <w:gridCol w:w="2140"/>
            </w:tblGrid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/п</w:t>
                  </w:r>
                </w:p>
              </w:tc>
              <w:tc>
                <w:tcPr>
                  <w:tcW w:w="455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Наименование мероприятия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С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р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оки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исполнения</w:t>
                  </w:r>
                </w:p>
              </w:tc>
              <w:tc>
                <w:tcPr>
                  <w:tcW w:w="214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Ответственные 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6"/>
                      <w:szCs w:val="24"/>
                      <w:lang w:eastAsia="ru-RU"/>
                    </w:rPr>
                    <w:t xml:space="preserve">исполнители</w:t>
                  </w: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1.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4e5882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Рассмотрение материалов проверок, свидетельствующих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о представлении государственными гражданскими с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лужащими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инспекции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государственного строительного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надзора Новосибирской области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 (далее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–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гражданские служащие инспекции)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недостоверных или неп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олных сведений о своих доходах,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расходах,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об имуществе и обязательства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х имущественного характера и о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доходах,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 расходах,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 об имуществе и обязатель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ствах имущественного характера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членов их семей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поступления материалов проверки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2.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Рассмотрение материалов проверок,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свидетельствующих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о несоблюдени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и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lang w:eastAsia="ru-RU"/>
                    </w:rPr>
                    <w:t xml:space="preserve">гражданскими служащими инспекции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требований к 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служебному поведению и (ил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и) требований об урегулировании 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конфликта интересов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поступления материалов проверки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3.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Рассмотрение обращений граждан,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замещавших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в инспекции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должности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государственной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гражданской службы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Новосибирской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области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, включенные 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перечень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должностей,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утвержденный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п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риказом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инспекции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, 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даче согласия на замещение должности в коммерческой или некоммерческой организации либо на выполнение рабо</w:t>
                  </w:r>
                  <w:r>
                    <w:t xml:space="preserve">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ы на условиях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х должностные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(служебные)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обязан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ности,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до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истечения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двух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лет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дня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увольнения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с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государственной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гражданской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службы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поступления обращений граждан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  <w:trHeight w:val="8398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4.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Рассмотрение уведомлений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коммерческой или некоммерческой организации о заключении с гражданином, замещавшим в инспекции должность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государственной гражданской службы Новосибирской области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гражданской службы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поступления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уведомлений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5.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Рассмотрение ходатай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ств гр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eastAsia="ru-RU"/>
                    </w:rPr>
                    <w:t xml:space="preserve">ажданских служащих 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получении разрешения представителя нанимателя на участие на безвозмездной основе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управлении некоммерческой организацией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поступления ходатайств 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6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ind w:hanging="77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Рассмотрение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заявлений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lang w:eastAsia="ru-RU"/>
                    </w:rPr>
                    <w:t xml:space="preserve">гражданских служащих инспекции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невозможности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объективным причинам представить сведения о доходах, об имуществе и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обязательствах имущественного характера членов своей семьи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в период декларационной кампании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поступления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заявлений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7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Рассмотрение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информации,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поступающей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от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органов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гос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ударственной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власти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нарушении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lang w:eastAsia="ru-RU"/>
                    </w:rPr>
                    <w:t xml:space="preserve">гражданскими служащими инспекции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эти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ческих норм и правил служебного 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поведения, установлен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ных Кодексом этики и служебного поведения государственных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граждански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х служащи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х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Новосибирской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области,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ут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вержде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нным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постановлением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Губернатора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Новосибирской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области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от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13.05.2011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№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119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весь период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 мере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поступления информации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hideMark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8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Рассмо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трение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информации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результатах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представления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lang w:eastAsia="ru-RU"/>
                    </w:rPr>
                    <w:t xml:space="preserve">гражданскими служащими инспекции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с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ведений о доходах, об имуществе и 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обязательствах имущественного характера.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на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ближайшем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заседании после 30.05.20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4"/>
                      <w:lang w:eastAsia="ru-RU"/>
                    </w:rPr>
                    <w:t xml:space="preserve">1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9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Рассмотрение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предложений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обеспечению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эффективности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совершенствованию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деятельности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к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омиссии.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по мере поступления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10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Взаимодействие с правоохранительными органами по профилактике коррупционных и иных правонарушений на государственной гражданской службе.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 мере поступления обращений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правоохрани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-тельных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органов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либо возникновения оснований для передачи материалов в правоохранитель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-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ные органы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11.</w:t>
                  </w:r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членами комиссии профилактической работы с государственными гражданскими служащими инспекции по вопросам предоставления сведений о доходах, расходах, об имуществе и обязательствах имущественного 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характера за 2020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в период декларационной кампании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12.</w:t>
                  </w:r>
                  <w:bookmarkStart w:id="0" w:name="_GoBack"/>
                  <w:bookmarkEnd w:id="0"/>
                </w:p>
              </w:tc>
              <w:tc>
                <w:tcPr>
                  <w:tcW w:w="4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Подведение ито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гов деятельности комиссии в 202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году, утверждение п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лана работы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комиссии на 202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год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.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январь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 –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февраль 202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6"/>
                      <w:szCs w:val="24"/>
                      <w:lang w:eastAsia="ru-RU"/>
                    </w:rPr>
                  </w:pPr>
                </w:p>
              </w:tc>
            </w:tr>
          </w:tbl>
          <w:p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4e5882"/>
                <w:sz w:val="16"/>
                <w:szCs w:val="16"/>
                <w:lang w:eastAsia="ru-RU"/>
              </w:rPr>
            </w:pPr>
          </w:p>
        </w:tc>
      </w:tr>
    </w:tbl>
    <w:p/>
    <w:sectPr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0A47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7DC452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12C8DB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0EE251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91668B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5F906C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EAB49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7D1C24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8B6087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4083</Characters>
  <CharactersWithSpaces>4790</CharactersWithSpaces>
  <Company>АГНОиПНО</Company>
  <DocSecurity>0</DocSecurity>
  <HyperlinksChanged>false</HyperlinksChanged>
  <Lines>34</Lines>
  <LinksUpToDate>false</LinksUpToDate>
  <Pages>3</Pages>
  <Paragraphs>9</Paragraphs>
  <ScaleCrop>false</ScaleCrop>
  <SharedDoc>false</SharedDoc>
  <Template>Normal</Template>
  <TotalTime>3</TotalTime>
  <Words>716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Садовникова Гульнара Хаитбаевна</cp:lastModifiedBy>
  <cp:revision>3</cp:revision>
  <cp:lastPrinted>2017-01-20T02:28:00Z</cp:lastPrinted>
  <dcterms:created xsi:type="dcterms:W3CDTF">2021-03-22T11:03:00Z</dcterms:created>
  <dcterms:modified xsi:type="dcterms:W3CDTF">2021-03-26T08:54:00Z</dcterms:modified>
</cp:coreProperties>
</file>