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EA" w:rsidRDefault="007D441E" w:rsidP="00E95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E95024" w:rsidRDefault="00E95024" w:rsidP="00E9502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2EA" w:rsidRPr="00D619CE" w:rsidRDefault="001662EA" w:rsidP="00166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662EA" w:rsidRPr="00D619CE" w:rsidRDefault="001662EA" w:rsidP="00166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инспекции</w:t>
      </w:r>
    </w:p>
    <w:p w:rsidR="001662EA" w:rsidRPr="00D619CE" w:rsidRDefault="001662EA" w:rsidP="00166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строительного надзора</w:t>
      </w:r>
    </w:p>
    <w:p w:rsidR="001662EA" w:rsidRPr="00D619CE" w:rsidRDefault="001662EA" w:rsidP="00166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662EA" w:rsidRPr="00D619CE" w:rsidRDefault="001662EA" w:rsidP="001662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D6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1662EA" w:rsidRDefault="001662EA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17" w:rsidRPr="00DB149D" w:rsidRDefault="00E8055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9D">
        <w:rPr>
          <w:rFonts w:ascii="Times New Roman" w:hAnsi="Times New Roman" w:cs="Times New Roman"/>
          <w:b/>
          <w:sz w:val="28"/>
          <w:szCs w:val="28"/>
        </w:rPr>
        <w:t xml:space="preserve">Порядок ведения перечня точек взаимодействия с внешними и внутренними клиентами в </w:t>
      </w:r>
      <w:r w:rsidR="002042B4" w:rsidRPr="00DB149D">
        <w:rPr>
          <w:rFonts w:ascii="Times New Roman" w:hAnsi="Times New Roman" w:cs="Times New Roman"/>
          <w:b/>
          <w:sz w:val="28"/>
          <w:szCs w:val="28"/>
        </w:rPr>
        <w:t xml:space="preserve">инспекции государственного строительного надзора </w:t>
      </w:r>
      <w:r w:rsidRPr="00DB149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E1C17" w:rsidRPr="00DB149D" w:rsidRDefault="00E80550">
      <w:pPr>
        <w:pStyle w:val="af9"/>
        <w:numPr>
          <w:ilvl w:val="0"/>
          <w:numId w:val="1"/>
        </w:numPr>
        <w:spacing w:after="100" w:afterAutospacing="1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9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E1C17" w:rsidRPr="00DB149D" w:rsidRDefault="007A490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1.1. </w:t>
      </w:r>
      <w:r w:rsidR="00E80550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точек взаимодействия </w:t>
      </w:r>
      <w:r w:rsidR="002042B4" w:rsidRPr="00DB149D">
        <w:rPr>
          <w:rFonts w:ascii="Times New Roman" w:hAnsi="Times New Roman" w:cs="Times New Roman"/>
          <w:sz w:val="28"/>
          <w:szCs w:val="28"/>
        </w:rPr>
        <w:t xml:space="preserve">в инспекции государственного строительного надзора Новосибирской области </w:t>
      </w:r>
      <w:r w:rsidR="00E80550" w:rsidRPr="00DB149D">
        <w:rPr>
          <w:rFonts w:ascii="Times New Roman" w:hAnsi="Times New Roman" w:cs="Times New Roman"/>
          <w:sz w:val="28"/>
          <w:szCs w:val="28"/>
        </w:rPr>
        <w:t>(далее – Перечень</w:t>
      </w:r>
      <w:r w:rsidR="002042B4" w:rsidRPr="00DB149D">
        <w:rPr>
          <w:rFonts w:ascii="Times New Roman" w:hAnsi="Times New Roman" w:cs="Times New Roman"/>
          <w:sz w:val="28"/>
          <w:szCs w:val="28"/>
        </w:rPr>
        <w:t>, инспекция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) разрабатывается в целях </w:t>
      </w:r>
      <w:r w:rsidR="00E80550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внедрения принципов и стандартов </w:t>
      </w:r>
      <w:proofErr w:type="spellStart"/>
      <w:r w:rsidR="00E80550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клиентоцентричности</w:t>
      </w:r>
      <w:proofErr w:type="spellEnd"/>
      <w:r w:rsidR="00E80550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государственного управления в </w:t>
      </w:r>
      <w:r w:rsidR="002042B4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инспекции</w:t>
      </w:r>
      <w:r w:rsidR="00E80550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оптимизации процессов и улучшения их ключевых показателей эффективности.</w:t>
      </w:r>
    </w:p>
    <w:p w:rsidR="003E1C17" w:rsidRPr="00DB149D" w:rsidRDefault="007A490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Методология формирования Перечня в виде основных точек взаимодействия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разработана на основании Методических рекомендаций формирования перечня точек взаимодействия, подготовленных АНО «Аналитический центр при Прави</w:t>
      </w:r>
      <w:r w:rsidR="002042B4" w:rsidRPr="00DB149D">
        <w:rPr>
          <w:rFonts w:ascii="Times New Roman" w:hAnsi="Times New Roman" w:cs="Times New Roman"/>
          <w:sz w:val="28"/>
          <w:szCs w:val="28"/>
        </w:rPr>
        <w:t>тельстве Российской Федерации».</w:t>
      </w:r>
    </w:p>
    <w:p w:rsidR="003E1C17" w:rsidRPr="00DB149D" w:rsidRDefault="007A490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E80550" w:rsidRPr="00DB149D">
        <w:rPr>
          <w:rFonts w:ascii="Times New Roman" w:hAnsi="Times New Roman" w:cs="Times New Roman"/>
          <w:sz w:val="28"/>
          <w:szCs w:val="28"/>
        </w:rPr>
        <w:t>Перечень имеет следующую структуру:</w:t>
      </w:r>
    </w:p>
    <w:p w:rsidR="003E1C17" w:rsidRPr="00DB149D" w:rsidRDefault="00D25EA5" w:rsidP="00D25EA5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1.3.1. </w:t>
      </w:r>
      <w:r w:rsidR="00E80550" w:rsidRPr="00DB149D">
        <w:rPr>
          <w:rFonts w:ascii="Times New Roman" w:hAnsi="Times New Roman" w:cs="Times New Roman"/>
          <w:sz w:val="28"/>
          <w:szCs w:val="28"/>
        </w:rPr>
        <w:t>Номер группы процессов – указывается порядковый номер группы процессов.</w:t>
      </w:r>
    </w:p>
    <w:p w:rsidR="003E1C17" w:rsidRPr="00DB149D" w:rsidRDefault="00D25EA5" w:rsidP="00D25EA5">
      <w:pPr>
        <w:spacing w:after="100" w:afterAutospacing="1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1.3.2. </w:t>
      </w:r>
      <w:r w:rsidR="00E80550" w:rsidRPr="00DB149D">
        <w:rPr>
          <w:rFonts w:ascii="Times New Roman" w:hAnsi="Times New Roman" w:cs="Times New Roman"/>
          <w:sz w:val="28"/>
          <w:szCs w:val="28"/>
        </w:rPr>
        <w:t>Наименование группы процессов – указывается группа процессов (направление деятельно</w:t>
      </w:r>
      <w:r w:rsidR="002042B4" w:rsidRPr="00DB149D">
        <w:rPr>
          <w:rFonts w:ascii="Times New Roman" w:hAnsi="Times New Roman" w:cs="Times New Roman"/>
          <w:sz w:val="28"/>
          <w:szCs w:val="28"/>
        </w:rPr>
        <w:t>сти), в которую входит процесс.</w:t>
      </w:r>
    </w:p>
    <w:p w:rsidR="003E1C17" w:rsidRPr="00DB149D" w:rsidRDefault="00D25EA5" w:rsidP="00D25EA5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Наименование конкретного процесса – указывается наименование процесса, определенного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инспекцией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3E1C17" w:rsidRPr="00DB149D" w:rsidRDefault="00D25EA5" w:rsidP="00D25EA5">
      <w:pPr>
        <w:spacing w:after="100" w:afterAutospacing="1" w:line="240" w:lineRule="auto"/>
        <w:ind w:firstLine="708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1.4. 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Точка взаимодействия – указывается конкретная цифровая/офлайн точка взаимодействия в зависимости от канала взаимодействия при реализации процесса. </w:t>
      </w:r>
    </w:p>
    <w:p w:rsidR="003E1C17" w:rsidRPr="00DB149D" w:rsidRDefault="00D25EA5" w:rsidP="00D25EA5">
      <w:pPr>
        <w:spacing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Осуществляемое взаимодействие с клиентом – указываются действия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в отношении клиента, производимые в конкретной точке взаимодействия.</w:t>
      </w:r>
    </w:p>
    <w:p w:rsidR="003E1C17" w:rsidRPr="00D25EA5" w:rsidRDefault="00D25EA5" w:rsidP="00D25EA5">
      <w:pPr>
        <w:spacing w:after="100" w:afterAutospacing="1" w:line="240" w:lineRule="auto"/>
        <w:ind w:firstLine="360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Особенности взаимодействия с клиентом – указываются действия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>, которые осуществляются при реализации конкретного процесса или группы процессов, и влияют на взаимодействие с клиентом. При отсутствии особенностей указывается вид взаимодействия (взаимодействие в цифровой/офлайн точке).</w:t>
      </w:r>
    </w:p>
    <w:p w:rsidR="003E1C17" w:rsidRDefault="00E80550">
      <w:pPr>
        <w:pStyle w:val="af9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формирования Перечня</w:t>
      </w:r>
    </w:p>
    <w:p w:rsidR="001662EA" w:rsidRDefault="007A490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2.1. </w:t>
      </w:r>
      <w:proofErr w:type="gramStart"/>
      <w:r w:rsidR="00E80550" w:rsidRPr="00DB1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разрабатывается на основе Методических рекомендаций по формированию перечня точек взаимодействия – Типового шаблона перечня точек </w:t>
      </w:r>
      <w:r w:rsidR="00E80550" w:rsidRPr="00DB149D">
        <w:rPr>
          <w:rFonts w:ascii="Times New Roman" w:hAnsi="Times New Roman" w:cs="Times New Roman"/>
          <w:sz w:val="28"/>
          <w:szCs w:val="28"/>
        </w:rPr>
        <w:lastRenderedPageBreak/>
        <w:t>взаимодействия, подготовленного АНО «Аналитический центр при Правительстве Российской Федерации» и расположенного по ссылке: </w:t>
      </w:r>
      <w:hyperlink r:id="rId9" w:history="1">
        <w:r w:rsidR="001662EA" w:rsidRPr="00B923AF">
          <w:rPr>
            <w:rStyle w:val="af0"/>
            <w:rFonts w:ascii="Times New Roman" w:hAnsi="Times New Roman" w:cs="Times New Roman"/>
            <w:sz w:val="28"/>
            <w:szCs w:val="28"/>
          </w:rPr>
          <w:t>https://dt.ac.gov.ru/docs/pub/b61d6d6b1c8195a3b69cde8a29249424/default/?path=%2FОбщеорганизационные%20документы%2F</w:t>
        </w:r>
      </w:hyperlink>
      <w:r w:rsidR="001662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1C17" w:rsidRDefault="007A4902">
      <w:pPr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В Перечень включаются точки взаимодействия по процессам основных направлений деятельности </w:t>
      </w:r>
      <w:r w:rsidR="009B2E94" w:rsidRPr="00DB149D">
        <w:rPr>
          <w:rFonts w:ascii="Times New Roman" w:hAnsi="Times New Roman" w:cs="Times New Roman"/>
          <w:sz w:val="28"/>
          <w:szCs w:val="28"/>
        </w:rPr>
        <w:t xml:space="preserve">инспекции: 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государственный контроль (надзор), рассмотрение обращений и запросов, обеспечение доступа к информации о деятельности </w:t>
      </w:r>
      <w:r w:rsidR="009B2E9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>, взаимодействие с внутренним клиентом, взаимодействие с внутренним клиентом по вопросам информационно-технического обеспечения, взаимодействие с внутренним клиентом по вопросам ведения бухгалтерского учета, взаимодействие с внутренним клиентом по вопросам осуществления администрат</w:t>
      </w:r>
      <w:r w:rsidR="009B2E94" w:rsidRPr="00DB149D">
        <w:rPr>
          <w:rFonts w:ascii="Times New Roman" w:hAnsi="Times New Roman" w:cs="Times New Roman"/>
          <w:sz w:val="28"/>
          <w:szCs w:val="28"/>
        </w:rPr>
        <w:t>ивно-хозяйственной деятельности</w:t>
      </w:r>
      <w:r w:rsidR="00E80550" w:rsidRPr="00DB149D">
        <w:rPr>
          <w:rFonts w:ascii="Times New Roman" w:hAnsi="Times New Roman" w:cs="Times New Roman"/>
          <w:sz w:val="28"/>
          <w:szCs w:val="28"/>
        </w:rPr>
        <w:t>.</w:t>
      </w:r>
    </w:p>
    <w:p w:rsidR="003E1C17" w:rsidRDefault="007A4902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2.3. </w:t>
      </w:r>
      <w:r w:rsidR="00E80550" w:rsidRPr="007A4902">
        <w:rPr>
          <w:rFonts w:ascii="Times New Roman" w:hAnsi="Times New Roman" w:cs="Times New Roman"/>
          <w:sz w:val="28"/>
          <w:szCs w:val="28"/>
        </w:rPr>
        <w:t xml:space="preserve">При формировании Перечня определение точек взаимодействия в рамках каждого направления деятельности </w:t>
      </w:r>
      <w:r w:rsidR="00C7360B" w:rsidRPr="007A4902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E80550" w:rsidRPr="007A4902">
        <w:rPr>
          <w:rFonts w:ascii="Times New Roman" w:hAnsi="Times New Roman" w:cs="Times New Roman"/>
          <w:sz w:val="28"/>
          <w:szCs w:val="28"/>
        </w:rPr>
        <w:t xml:space="preserve">осуществляется по каждому процессу. Точки взаимодействия в рамках одного процесса не подлежат дублированию – </w:t>
      </w:r>
      <w:proofErr w:type="gramStart"/>
      <w:r w:rsidR="00E80550" w:rsidRPr="007A4902">
        <w:rPr>
          <w:rFonts w:ascii="Times New Roman" w:hAnsi="Times New Roman" w:cs="Times New Roman"/>
          <w:sz w:val="28"/>
          <w:szCs w:val="28"/>
        </w:rPr>
        <w:t>указывается одна точка взаимодействия и раскрываются</w:t>
      </w:r>
      <w:proofErr w:type="gramEnd"/>
      <w:r w:rsidR="00E80550" w:rsidRPr="007A4902">
        <w:rPr>
          <w:rFonts w:ascii="Times New Roman" w:hAnsi="Times New Roman" w:cs="Times New Roman"/>
          <w:sz w:val="28"/>
          <w:szCs w:val="28"/>
        </w:rPr>
        <w:t xml:space="preserve"> удовлетворяемые в ней потребности клиента (виды осуществляемого взаимодействия) Осуществление единообразного процесса всеми структурными подразделениями</w:t>
      </w:r>
      <w:r w:rsidR="00C7360B" w:rsidRPr="007A4902">
        <w:rPr>
          <w:rFonts w:ascii="Times New Roman" w:hAnsi="Times New Roman" w:cs="Times New Roman"/>
          <w:sz w:val="28"/>
          <w:szCs w:val="28"/>
        </w:rPr>
        <w:t xml:space="preserve"> </w:t>
      </w:r>
      <w:r w:rsidRPr="007A4902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E80550" w:rsidRPr="007A4902">
        <w:rPr>
          <w:rFonts w:ascii="Times New Roman" w:hAnsi="Times New Roman" w:cs="Times New Roman"/>
          <w:sz w:val="28"/>
          <w:szCs w:val="28"/>
        </w:rPr>
        <w:t>предполагает определение точек взаимодействия для всего направления деятельности</w:t>
      </w:r>
      <w:r w:rsidR="00C7360B" w:rsidRPr="007A4902">
        <w:rPr>
          <w:rFonts w:ascii="Times New Roman" w:hAnsi="Times New Roman" w:cs="Times New Roman"/>
          <w:sz w:val="28"/>
          <w:szCs w:val="28"/>
        </w:rPr>
        <w:t xml:space="preserve"> инспекции</w:t>
      </w:r>
      <w:r w:rsidR="00E80550" w:rsidRPr="007A4902">
        <w:rPr>
          <w:rFonts w:ascii="Times New Roman" w:hAnsi="Times New Roman" w:cs="Times New Roman"/>
          <w:sz w:val="28"/>
          <w:szCs w:val="28"/>
        </w:rPr>
        <w:t xml:space="preserve">. Осуществление процесса несколькими </w:t>
      </w:r>
      <w:r w:rsidRPr="007A4902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E80550" w:rsidRPr="007A4902">
        <w:rPr>
          <w:rFonts w:ascii="Times New Roman" w:hAnsi="Times New Roman" w:cs="Times New Roman"/>
          <w:sz w:val="28"/>
          <w:szCs w:val="28"/>
        </w:rPr>
        <w:t xml:space="preserve"> </w:t>
      </w:r>
      <w:r w:rsidRPr="007A4902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E80550" w:rsidRPr="007A4902">
        <w:rPr>
          <w:rFonts w:ascii="Times New Roman" w:hAnsi="Times New Roman" w:cs="Times New Roman"/>
          <w:sz w:val="28"/>
          <w:szCs w:val="28"/>
        </w:rPr>
        <w:t xml:space="preserve">предполагает указание точек взаимодействия, исходя из выполняемых действий каждым </w:t>
      </w:r>
      <w:r>
        <w:rPr>
          <w:rFonts w:ascii="Times New Roman" w:hAnsi="Times New Roman" w:cs="Times New Roman"/>
          <w:sz w:val="28"/>
          <w:szCs w:val="28"/>
        </w:rPr>
        <w:t>подразделением</w:t>
      </w:r>
      <w:r w:rsidR="00E80550" w:rsidRPr="007A4902">
        <w:rPr>
          <w:rFonts w:ascii="Times New Roman" w:hAnsi="Times New Roman" w:cs="Times New Roman"/>
          <w:sz w:val="28"/>
          <w:szCs w:val="28"/>
        </w:rPr>
        <w:t xml:space="preserve"> в отдельности.</w:t>
      </w:r>
    </w:p>
    <w:p w:rsidR="003E1C17" w:rsidRPr="001662EA" w:rsidRDefault="007A4902" w:rsidP="00C7360B">
      <w:pPr>
        <w:spacing w:after="0"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2.4. 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Ответственным за формирование Перечня </w:t>
      </w:r>
      <w:r w:rsidR="00DB149D" w:rsidRPr="00DB149D">
        <w:rPr>
          <w:rFonts w:ascii="Times New Roman" w:hAnsi="Times New Roman" w:cs="Times New Roman"/>
          <w:sz w:val="28"/>
          <w:szCs w:val="28"/>
        </w:rPr>
        <w:t>является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DB149D" w:rsidRPr="00DB149D">
        <w:rPr>
          <w:rFonts w:ascii="Times New Roman" w:hAnsi="Times New Roman" w:cs="Times New Roman"/>
          <w:sz w:val="28"/>
          <w:szCs w:val="28"/>
        </w:rPr>
        <w:t>начальника 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, ответственный за внедрение принципов и стандартов </w:t>
      </w:r>
      <w:proofErr w:type="spellStart"/>
      <w:r w:rsidR="00E80550" w:rsidRPr="00DB149D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E80550" w:rsidRPr="00DB149D">
        <w:rPr>
          <w:rFonts w:ascii="Times New Roman" w:hAnsi="Times New Roman" w:cs="Times New Roman"/>
          <w:sz w:val="28"/>
          <w:szCs w:val="28"/>
        </w:rPr>
        <w:t xml:space="preserve"> в </w:t>
      </w:r>
      <w:r w:rsidR="00DB149D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>.</w:t>
      </w:r>
      <w:r w:rsidR="007E0FF6">
        <w:rPr>
          <w:rFonts w:ascii="Times New Roman" w:hAnsi="Times New Roman" w:cs="Times New Roman"/>
          <w:sz w:val="28"/>
          <w:szCs w:val="28"/>
        </w:rPr>
        <w:t xml:space="preserve"> </w:t>
      </w:r>
      <w:r w:rsidR="007E0FF6" w:rsidRPr="001662EA">
        <w:rPr>
          <w:rFonts w:ascii="Times New Roman" w:hAnsi="Times New Roman" w:cs="Times New Roman"/>
          <w:sz w:val="28"/>
          <w:szCs w:val="28"/>
        </w:rPr>
        <w:t xml:space="preserve">Непосредственное формирование и актуализацию перечня осуществляют </w:t>
      </w:r>
      <w:r w:rsidR="00CD3B63" w:rsidRPr="001662EA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инспекции, ответственные за процесс.</w:t>
      </w:r>
    </w:p>
    <w:p w:rsidR="003E1C17" w:rsidRDefault="0031144E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62EA">
        <w:rPr>
          <w:rFonts w:ascii="Times New Roman" w:hAnsi="Times New Roman" w:cs="Times New Roman"/>
          <w:sz w:val="28"/>
          <w:szCs w:val="28"/>
        </w:rPr>
        <w:t>2.5. Перечень утверждается приказом инспекции.</w:t>
      </w:r>
    </w:p>
    <w:p w:rsidR="00E95024" w:rsidRPr="00DB149D" w:rsidRDefault="00E9502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17" w:rsidRPr="00DB149D" w:rsidRDefault="00E80550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9D">
        <w:rPr>
          <w:rFonts w:ascii="Times New Roman" w:hAnsi="Times New Roman" w:cs="Times New Roman"/>
          <w:b/>
          <w:sz w:val="28"/>
          <w:szCs w:val="28"/>
        </w:rPr>
        <w:t>3. Место размещения Перечня</w:t>
      </w:r>
    </w:p>
    <w:p w:rsidR="003E1C17" w:rsidRPr="00DB149D" w:rsidRDefault="003E1C17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17" w:rsidRPr="00DB149D" w:rsidRDefault="007A4902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Перечень размещается на официальном сайте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 в разделе «Документы»</w:t>
      </w:r>
      <w:r w:rsidR="002042B4" w:rsidRPr="00DB149D">
        <w:t xml:space="preserve"> </w:t>
      </w:r>
      <w:r w:rsidR="002042B4" w:rsidRPr="00DB149D">
        <w:rPr>
          <w:rFonts w:ascii="Times New Roman" w:hAnsi="Times New Roman" w:cs="Times New Roman"/>
          <w:sz w:val="28"/>
          <w:szCs w:val="28"/>
        </w:rPr>
        <w:t>(https://gsn.nso.ru/page/47)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. При внесении изменений в Перечень актуальная версия Перечня размещается на официальном сайте </w:t>
      </w:r>
      <w:r w:rsidR="002042B4" w:rsidRPr="00DB149D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="00E80550" w:rsidRPr="00DB149D">
        <w:rPr>
          <w:rFonts w:ascii="Times New Roman" w:hAnsi="Times New Roman" w:cs="Times New Roman"/>
          <w:sz w:val="28"/>
          <w:szCs w:val="28"/>
        </w:rPr>
        <w:t>не позднее 5 рабочих дней с момента внесения изменений.</w:t>
      </w:r>
    </w:p>
    <w:p w:rsidR="003E1C17" w:rsidRPr="00DB149D" w:rsidRDefault="003E1C17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1C17" w:rsidRPr="00DB149D" w:rsidRDefault="00E80550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9D">
        <w:rPr>
          <w:rFonts w:ascii="Times New Roman" w:hAnsi="Times New Roman" w:cs="Times New Roman"/>
          <w:b/>
          <w:sz w:val="28"/>
          <w:szCs w:val="28"/>
        </w:rPr>
        <w:t>4. Порядок внесения изменений</w:t>
      </w:r>
    </w:p>
    <w:p w:rsidR="003E1C17" w:rsidRPr="00DB149D" w:rsidRDefault="003E1C17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C17" w:rsidRPr="00DB149D" w:rsidRDefault="007A4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E80550" w:rsidRPr="00DB149D">
        <w:rPr>
          <w:rFonts w:ascii="Times New Roman" w:hAnsi="Times New Roman" w:cs="Times New Roman"/>
          <w:sz w:val="28"/>
          <w:szCs w:val="28"/>
        </w:rPr>
        <w:t>В случае необходимости в содержание Перечня вносятся изменения. В рамках изменения содержания Перечня проводится исключение, добавление или изменение строк Перечня (отдельных точек взаимодействия в Перечне).</w:t>
      </w:r>
    </w:p>
    <w:p w:rsidR="001662EA" w:rsidRDefault="007A4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Внесение изменений в содержание Перечня инициирует структурное подразделение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, ответственное за процесс. </w:t>
      </w:r>
    </w:p>
    <w:p w:rsidR="003E1C17" w:rsidRPr="00DB149D" w:rsidRDefault="007A49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Согласование изменений в содержание Перечня осуществляется в следующей последовательности: </w:t>
      </w:r>
    </w:p>
    <w:p w:rsidR="003E1C17" w:rsidRPr="00DB149D" w:rsidRDefault="008D739C" w:rsidP="008D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9D">
        <w:rPr>
          <w:rFonts w:ascii="Times New Roman" w:hAnsi="Times New Roman" w:cs="Times New Roman"/>
          <w:sz w:val="28"/>
          <w:szCs w:val="28"/>
        </w:rPr>
        <w:t>1)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руководитель структурного подразделения </w:t>
      </w:r>
      <w:r w:rsidR="002042B4"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>, ответственного за процесс;</w:t>
      </w:r>
    </w:p>
    <w:p w:rsidR="003E1C17" w:rsidRDefault="008D739C" w:rsidP="00C7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9D">
        <w:rPr>
          <w:rFonts w:ascii="Times New Roman" w:hAnsi="Times New Roman" w:cs="Times New Roman"/>
          <w:sz w:val="28"/>
          <w:szCs w:val="28"/>
        </w:rPr>
        <w:t>2) </w:t>
      </w:r>
      <w:r w:rsidR="00E80550" w:rsidRPr="00DB149D">
        <w:rPr>
          <w:rFonts w:ascii="Times New Roman" w:hAnsi="Times New Roman" w:cs="Times New Roman"/>
          <w:sz w:val="28"/>
          <w:szCs w:val="28"/>
        </w:rPr>
        <w:t xml:space="preserve">заместитель руководителя, ответственный за внедрение принципов и стандартов </w:t>
      </w:r>
      <w:proofErr w:type="spellStart"/>
      <w:r w:rsidR="00E80550" w:rsidRPr="00DB149D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="00E80550" w:rsidRPr="00DB149D">
        <w:rPr>
          <w:rFonts w:ascii="Times New Roman" w:hAnsi="Times New Roman" w:cs="Times New Roman"/>
          <w:sz w:val="28"/>
          <w:szCs w:val="28"/>
        </w:rPr>
        <w:t xml:space="preserve"> в </w:t>
      </w:r>
      <w:r w:rsidRPr="00DB149D">
        <w:rPr>
          <w:rFonts w:ascii="Times New Roman" w:hAnsi="Times New Roman" w:cs="Times New Roman"/>
          <w:sz w:val="28"/>
          <w:szCs w:val="28"/>
        </w:rPr>
        <w:t>инспекции</w:t>
      </w:r>
      <w:r w:rsidR="00E80550" w:rsidRPr="00DB149D">
        <w:rPr>
          <w:rFonts w:ascii="Times New Roman" w:hAnsi="Times New Roman" w:cs="Times New Roman"/>
          <w:sz w:val="28"/>
          <w:szCs w:val="28"/>
        </w:rPr>
        <w:t>.</w:t>
      </w:r>
    </w:p>
    <w:p w:rsidR="0031144E" w:rsidRDefault="0031144E" w:rsidP="00C7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62EA">
        <w:rPr>
          <w:rFonts w:ascii="Times New Roman" w:hAnsi="Times New Roman" w:cs="Times New Roman"/>
          <w:sz w:val="28"/>
          <w:szCs w:val="28"/>
        </w:rPr>
        <w:t>4.4. </w:t>
      </w:r>
      <w:proofErr w:type="gramStart"/>
      <w:r w:rsidRPr="001662EA">
        <w:rPr>
          <w:rFonts w:ascii="Times New Roman" w:hAnsi="Times New Roman" w:cs="Times New Roman"/>
          <w:sz w:val="28"/>
          <w:szCs w:val="28"/>
        </w:rPr>
        <w:t>Изменения, внесенные в перечень ут</w:t>
      </w:r>
      <w:r w:rsidR="00CD3B63" w:rsidRPr="001662EA">
        <w:rPr>
          <w:rFonts w:ascii="Times New Roman" w:hAnsi="Times New Roman" w:cs="Times New Roman"/>
          <w:sz w:val="28"/>
          <w:szCs w:val="28"/>
        </w:rPr>
        <w:t>верждаются</w:t>
      </w:r>
      <w:proofErr w:type="gramEnd"/>
      <w:r w:rsidR="00CD3B63" w:rsidRPr="001662EA">
        <w:rPr>
          <w:rFonts w:ascii="Times New Roman" w:hAnsi="Times New Roman" w:cs="Times New Roman"/>
          <w:sz w:val="28"/>
          <w:szCs w:val="28"/>
        </w:rPr>
        <w:t xml:space="preserve"> приказом инспекции.</w:t>
      </w:r>
    </w:p>
    <w:p w:rsidR="00E95024" w:rsidRDefault="00E95024" w:rsidP="00C73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5024" w:rsidRDefault="00E95024" w:rsidP="00E950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5024" w:rsidRPr="008D739C" w:rsidRDefault="00E95024" w:rsidP="00E950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</w:t>
      </w:r>
    </w:p>
    <w:sectPr w:rsidR="00E95024" w:rsidRPr="008D739C" w:rsidSect="00E95024">
      <w:headerReference w:type="default" r:id="rId10"/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22" w:rsidRDefault="005C5022">
      <w:pPr>
        <w:spacing w:after="0" w:line="240" w:lineRule="auto"/>
      </w:pPr>
      <w:r>
        <w:separator/>
      </w:r>
    </w:p>
  </w:endnote>
  <w:endnote w:type="continuationSeparator" w:id="0">
    <w:p w:rsidR="005C5022" w:rsidRDefault="005C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22" w:rsidRDefault="005C5022">
      <w:pPr>
        <w:spacing w:after="0" w:line="240" w:lineRule="auto"/>
      </w:pPr>
      <w:r>
        <w:separator/>
      </w:r>
    </w:p>
  </w:footnote>
  <w:footnote w:type="continuationSeparator" w:id="0">
    <w:p w:rsidR="005C5022" w:rsidRDefault="005C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9629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95024" w:rsidRPr="00E95024" w:rsidRDefault="00E95024">
        <w:pPr>
          <w:pStyle w:val="aa"/>
          <w:jc w:val="center"/>
          <w:rPr>
            <w:rFonts w:ascii="Times New Roman" w:hAnsi="Times New Roman" w:cs="Times New Roman"/>
          </w:rPr>
        </w:pPr>
        <w:r w:rsidRPr="00E95024">
          <w:rPr>
            <w:rFonts w:ascii="Times New Roman" w:hAnsi="Times New Roman" w:cs="Times New Roman"/>
          </w:rPr>
          <w:fldChar w:fldCharType="begin"/>
        </w:r>
        <w:r w:rsidRPr="00E95024">
          <w:rPr>
            <w:rFonts w:ascii="Times New Roman" w:hAnsi="Times New Roman" w:cs="Times New Roman"/>
          </w:rPr>
          <w:instrText>PAGE   \* MERGEFORMAT</w:instrText>
        </w:r>
        <w:r w:rsidRPr="00E9502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E95024">
          <w:rPr>
            <w:rFonts w:ascii="Times New Roman" w:hAnsi="Times New Roman" w:cs="Times New Roman"/>
          </w:rPr>
          <w:fldChar w:fldCharType="end"/>
        </w:r>
      </w:p>
    </w:sdtContent>
  </w:sdt>
  <w:p w:rsidR="00E95024" w:rsidRDefault="00E9502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857"/>
    <w:multiLevelType w:val="hybridMultilevel"/>
    <w:tmpl w:val="8D9AD338"/>
    <w:lvl w:ilvl="0" w:tplc="B1E077C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60EF09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8A264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034628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B841F0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178A42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F6267F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D88270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942C5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098D0B65"/>
    <w:multiLevelType w:val="hybridMultilevel"/>
    <w:tmpl w:val="A0D821C6"/>
    <w:lvl w:ilvl="0" w:tplc="29340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48B214">
      <w:start w:val="1"/>
      <w:numFmt w:val="lowerLetter"/>
      <w:lvlText w:val="%2."/>
      <w:lvlJc w:val="left"/>
      <w:pPr>
        <w:ind w:left="1440" w:hanging="360"/>
      </w:pPr>
    </w:lvl>
    <w:lvl w:ilvl="2" w:tplc="27BA58AE">
      <w:start w:val="1"/>
      <w:numFmt w:val="lowerRoman"/>
      <w:lvlText w:val="%3."/>
      <w:lvlJc w:val="right"/>
      <w:pPr>
        <w:ind w:left="2160" w:hanging="180"/>
      </w:pPr>
    </w:lvl>
    <w:lvl w:ilvl="3" w:tplc="69E84322">
      <w:start w:val="1"/>
      <w:numFmt w:val="decimal"/>
      <w:lvlText w:val="%4."/>
      <w:lvlJc w:val="left"/>
      <w:pPr>
        <w:ind w:left="2880" w:hanging="360"/>
      </w:pPr>
    </w:lvl>
    <w:lvl w:ilvl="4" w:tplc="EB68951A">
      <w:start w:val="1"/>
      <w:numFmt w:val="lowerLetter"/>
      <w:lvlText w:val="%5."/>
      <w:lvlJc w:val="left"/>
      <w:pPr>
        <w:ind w:left="3600" w:hanging="360"/>
      </w:pPr>
    </w:lvl>
    <w:lvl w:ilvl="5" w:tplc="78DE55CA">
      <w:start w:val="1"/>
      <w:numFmt w:val="lowerRoman"/>
      <w:lvlText w:val="%6."/>
      <w:lvlJc w:val="right"/>
      <w:pPr>
        <w:ind w:left="4320" w:hanging="180"/>
      </w:pPr>
    </w:lvl>
    <w:lvl w:ilvl="6" w:tplc="7E9CCC56">
      <w:start w:val="1"/>
      <w:numFmt w:val="decimal"/>
      <w:lvlText w:val="%7."/>
      <w:lvlJc w:val="left"/>
      <w:pPr>
        <w:ind w:left="5040" w:hanging="360"/>
      </w:pPr>
    </w:lvl>
    <w:lvl w:ilvl="7" w:tplc="A502C184">
      <w:start w:val="1"/>
      <w:numFmt w:val="lowerLetter"/>
      <w:lvlText w:val="%8."/>
      <w:lvlJc w:val="left"/>
      <w:pPr>
        <w:ind w:left="5760" w:hanging="360"/>
      </w:pPr>
    </w:lvl>
    <w:lvl w:ilvl="8" w:tplc="8B604A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F7AF2"/>
    <w:multiLevelType w:val="hybridMultilevel"/>
    <w:tmpl w:val="B0228530"/>
    <w:lvl w:ilvl="0" w:tplc="1354F95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80A506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3CE334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56CEE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C38287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0B2ED4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8041FB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2D2097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C80F63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416806F5"/>
    <w:multiLevelType w:val="hybridMultilevel"/>
    <w:tmpl w:val="195AEB6C"/>
    <w:lvl w:ilvl="0" w:tplc="40A8C2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89EE93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F6221B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63202D2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4586D3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F4C6E76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0EB2119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3BCAD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EFE14D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>
    <w:nsid w:val="6F6721A9"/>
    <w:multiLevelType w:val="hybridMultilevel"/>
    <w:tmpl w:val="265E66F0"/>
    <w:lvl w:ilvl="0" w:tplc="A1E0BC2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B0A8BD6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771AA1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D9CDF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B1876C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5A296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EAE58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DEA36B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36E906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723B0A76"/>
    <w:multiLevelType w:val="hybridMultilevel"/>
    <w:tmpl w:val="2028FCA0"/>
    <w:lvl w:ilvl="0" w:tplc="16540B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E0ED1AC">
      <w:start w:val="1"/>
      <w:numFmt w:val="lowerLetter"/>
      <w:lvlText w:val="%2."/>
      <w:lvlJc w:val="left"/>
      <w:pPr>
        <w:ind w:left="1789" w:hanging="360"/>
      </w:pPr>
    </w:lvl>
    <w:lvl w:ilvl="2" w:tplc="633695FE">
      <w:start w:val="1"/>
      <w:numFmt w:val="lowerRoman"/>
      <w:lvlText w:val="%3."/>
      <w:lvlJc w:val="right"/>
      <w:pPr>
        <w:ind w:left="2509" w:hanging="180"/>
      </w:pPr>
    </w:lvl>
    <w:lvl w:ilvl="3" w:tplc="BCDE0C96">
      <w:start w:val="1"/>
      <w:numFmt w:val="decimal"/>
      <w:lvlText w:val="%4."/>
      <w:lvlJc w:val="left"/>
      <w:pPr>
        <w:ind w:left="3229" w:hanging="360"/>
      </w:pPr>
    </w:lvl>
    <w:lvl w:ilvl="4" w:tplc="4DCE58A2">
      <w:start w:val="1"/>
      <w:numFmt w:val="lowerLetter"/>
      <w:lvlText w:val="%5."/>
      <w:lvlJc w:val="left"/>
      <w:pPr>
        <w:ind w:left="3949" w:hanging="360"/>
      </w:pPr>
    </w:lvl>
    <w:lvl w:ilvl="5" w:tplc="CF0EFC84">
      <w:start w:val="1"/>
      <w:numFmt w:val="lowerRoman"/>
      <w:lvlText w:val="%6."/>
      <w:lvlJc w:val="right"/>
      <w:pPr>
        <w:ind w:left="4669" w:hanging="180"/>
      </w:pPr>
    </w:lvl>
    <w:lvl w:ilvl="6" w:tplc="169839F8">
      <w:start w:val="1"/>
      <w:numFmt w:val="decimal"/>
      <w:lvlText w:val="%7."/>
      <w:lvlJc w:val="left"/>
      <w:pPr>
        <w:ind w:left="5389" w:hanging="360"/>
      </w:pPr>
    </w:lvl>
    <w:lvl w:ilvl="7" w:tplc="5A30573E">
      <w:start w:val="1"/>
      <w:numFmt w:val="lowerLetter"/>
      <w:lvlText w:val="%8."/>
      <w:lvlJc w:val="left"/>
      <w:pPr>
        <w:ind w:left="6109" w:hanging="360"/>
      </w:pPr>
    </w:lvl>
    <w:lvl w:ilvl="8" w:tplc="6EDEC38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C17"/>
    <w:rsid w:val="001662EA"/>
    <w:rsid w:val="002042B4"/>
    <w:rsid w:val="0031144E"/>
    <w:rsid w:val="003C1928"/>
    <w:rsid w:val="003E1C17"/>
    <w:rsid w:val="005666C6"/>
    <w:rsid w:val="005C5022"/>
    <w:rsid w:val="007A4902"/>
    <w:rsid w:val="007D441E"/>
    <w:rsid w:val="007E0FF6"/>
    <w:rsid w:val="00860C9D"/>
    <w:rsid w:val="008D739C"/>
    <w:rsid w:val="009B2E94"/>
    <w:rsid w:val="00AF72E9"/>
    <w:rsid w:val="00C7360B"/>
    <w:rsid w:val="00CD3B63"/>
    <w:rsid w:val="00D25EA5"/>
    <w:rsid w:val="00DB149D"/>
    <w:rsid w:val="00E80550"/>
    <w:rsid w:val="00E82F7E"/>
    <w:rsid w:val="00E9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9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E9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t.ac.gov.ru/docs/pub/b61d6d6b1c8195a3b69cde8a29249424/default/?path=%2F&#1054;&#1073;&#1097;&#1077;&#1086;&#1088;&#1075;&#1072;&#1085;&#1080;&#1079;&#1072;&#1094;&#1080;&#1086;&#1085;&#1085;&#1099;&#1077;%20&#1076;&#1086;&#1082;&#1091;&#1084;&#1077;&#1085;&#1090;&#1099;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18911F-7FE8-4B75-ADA2-DE97A51A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Гончарова Татьяна Александровна</cp:lastModifiedBy>
  <cp:revision>9</cp:revision>
  <cp:lastPrinted>2024-01-31T02:40:00Z</cp:lastPrinted>
  <dcterms:created xsi:type="dcterms:W3CDTF">2024-01-30T04:12:00Z</dcterms:created>
  <dcterms:modified xsi:type="dcterms:W3CDTF">2024-01-31T02:41:00Z</dcterms:modified>
</cp:coreProperties>
</file>