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5" w:rsidRPr="004F5334" w:rsidRDefault="00176249" w:rsidP="009F22AC">
      <w:pPr>
        <w:pStyle w:val="1"/>
        <w:spacing w:before="0" w:line="240" w:lineRule="auto"/>
        <w:jc w:val="center"/>
      </w:pPr>
      <w:r w:rsidRPr="00176249">
        <w:rPr>
          <w:rFonts w:ascii="Times New Roman" w:hAnsi="Times New Roman" w:cs="Times New Roman"/>
          <w:color w:val="000000" w:themeColor="text1"/>
        </w:rPr>
        <w:t>Анализ текущего состояния под</w:t>
      </w:r>
      <w:r w:rsidR="0092768F">
        <w:rPr>
          <w:rFonts w:ascii="Times New Roman" w:hAnsi="Times New Roman" w:cs="Times New Roman"/>
          <w:color w:val="000000" w:themeColor="text1"/>
        </w:rPr>
        <w:t>надзорной</w:t>
      </w:r>
      <w:r w:rsidRPr="00176249">
        <w:rPr>
          <w:rFonts w:ascii="Times New Roman" w:hAnsi="Times New Roman" w:cs="Times New Roman"/>
          <w:color w:val="000000" w:themeColor="text1"/>
        </w:rPr>
        <w:t xml:space="preserve"> среды, </w:t>
      </w:r>
      <w:r w:rsidR="00C870A5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176249">
        <w:rPr>
          <w:rFonts w:ascii="Times New Roman" w:hAnsi="Times New Roman" w:cs="Times New Roman"/>
          <w:color w:val="000000" w:themeColor="text1"/>
        </w:rPr>
        <w:t xml:space="preserve">описание текущего </w:t>
      </w:r>
      <w:proofErr w:type="gramStart"/>
      <w:r w:rsidRPr="00176249">
        <w:rPr>
          <w:rFonts w:ascii="Times New Roman" w:hAnsi="Times New Roman" w:cs="Times New Roman"/>
          <w:color w:val="000000" w:themeColor="text1"/>
        </w:rPr>
        <w:t>уровня развития профилактической деятельности инспекции государственного строительного надзора Новосибирской области</w:t>
      </w:r>
      <w:proofErr w:type="gramEnd"/>
      <w:r w:rsidRPr="00176249">
        <w:rPr>
          <w:rFonts w:ascii="Times New Roman" w:hAnsi="Times New Roman" w:cs="Times New Roman"/>
          <w:color w:val="000000" w:themeColor="text1"/>
        </w:rPr>
        <w:t xml:space="preserve"> по </w:t>
      </w:r>
      <w:r w:rsidRPr="00B25ED9">
        <w:rPr>
          <w:rFonts w:ascii="Times New Roman" w:hAnsi="Times New Roman" w:cs="Times New Roman"/>
          <w:color w:val="000000" w:themeColor="text1"/>
        </w:rPr>
        <w:t>состоянию на 01.</w:t>
      </w:r>
      <w:r w:rsidR="00495215" w:rsidRPr="00B25ED9">
        <w:rPr>
          <w:rFonts w:ascii="Times New Roman" w:hAnsi="Times New Roman" w:cs="Times New Roman"/>
          <w:color w:val="000000" w:themeColor="text1"/>
        </w:rPr>
        <w:t>10</w:t>
      </w:r>
      <w:r w:rsidRPr="00B25ED9">
        <w:rPr>
          <w:rFonts w:ascii="Times New Roman" w:hAnsi="Times New Roman" w:cs="Times New Roman"/>
          <w:color w:val="000000" w:themeColor="text1"/>
        </w:rPr>
        <w:t>.202</w:t>
      </w:r>
      <w:r w:rsidR="00855033" w:rsidRPr="00B25ED9">
        <w:rPr>
          <w:rFonts w:ascii="Times New Roman" w:hAnsi="Times New Roman" w:cs="Times New Roman"/>
          <w:color w:val="000000" w:themeColor="text1"/>
        </w:rPr>
        <w:t>2</w:t>
      </w:r>
    </w:p>
    <w:p w:rsidR="00867680" w:rsidRPr="004F5334" w:rsidRDefault="00867680" w:rsidP="00867680"/>
    <w:p w:rsidR="00867680" w:rsidRDefault="00867680" w:rsidP="00867680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видов и типов под</w:t>
      </w:r>
      <w:r w:rsidR="0092768F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(субъектов)</w:t>
      </w:r>
    </w:p>
    <w:p w:rsidR="00867680" w:rsidRPr="004F5334" w:rsidRDefault="00867680" w:rsidP="00867680">
      <w:pPr>
        <w:spacing w:after="0" w:line="240" w:lineRule="auto"/>
      </w:pPr>
    </w:p>
    <w:p w:rsidR="007702C1" w:rsidRPr="005B72A7" w:rsidRDefault="007702C1" w:rsidP="00B8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B72A7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</w:t>
      </w:r>
      <w:r w:rsidR="008F1508">
        <w:rPr>
          <w:rFonts w:ascii="Times New Roman" w:hAnsi="Times New Roman" w:cs="Times New Roman"/>
          <w:sz w:val="28"/>
          <w:szCs w:val="28"/>
        </w:rPr>
        <w:t xml:space="preserve"> </w:t>
      </w:r>
      <w:r w:rsidRPr="005B72A7">
        <w:rPr>
          <w:rFonts w:ascii="Times New Roman" w:hAnsi="Times New Roman" w:cs="Times New Roman"/>
          <w:sz w:val="28"/>
          <w:szCs w:val="28"/>
        </w:rPr>
        <w:t>№ 342-п инспекция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инспекция)</w:t>
      </w:r>
      <w:r w:rsidRPr="005B72A7">
        <w:rPr>
          <w:rFonts w:ascii="Times New Roman" w:hAnsi="Times New Roman" w:cs="Times New Roman"/>
          <w:sz w:val="28"/>
          <w:szCs w:val="28"/>
        </w:rPr>
        <w:t>, является областным исполнительным органом государственной власти Новосибирской области, уполномоченным на</w:t>
      </w:r>
      <w:r w:rsidR="00370CCA" w:rsidRPr="00370CCA">
        <w:rPr>
          <w:rFonts w:ascii="Times New Roman" w:hAnsi="Times New Roman" w:cs="Times New Roman"/>
          <w:sz w:val="28"/>
          <w:szCs w:val="28"/>
        </w:rPr>
        <w:t xml:space="preserve"> </w:t>
      </w:r>
      <w:r w:rsidRPr="005B72A7">
        <w:rPr>
          <w:rFonts w:ascii="Times New Roman" w:hAnsi="Times New Roman" w:cs="Times New Roman"/>
          <w:sz w:val="28"/>
          <w:szCs w:val="28"/>
        </w:rPr>
        <w:t>осуществление регионального государст</w:t>
      </w:r>
      <w:r w:rsidR="00370CCA">
        <w:rPr>
          <w:rFonts w:ascii="Times New Roman" w:hAnsi="Times New Roman" w:cs="Times New Roman"/>
          <w:sz w:val="28"/>
          <w:szCs w:val="28"/>
        </w:rPr>
        <w:t>венного строительного надзора в</w:t>
      </w:r>
      <w:r w:rsidR="00370CCA" w:rsidRPr="00370CCA">
        <w:rPr>
          <w:rFonts w:ascii="Times New Roman" w:hAnsi="Times New Roman" w:cs="Times New Roman"/>
          <w:sz w:val="28"/>
          <w:szCs w:val="28"/>
        </w:rPr>
        <w:t xml:space="preserve"> </w:t>
      </w:r>
      <w:r w:rsidRPr="005B72A7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370CC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(далее – </w:t>
      </w:r>
      <w:proofErr w:type="spellStart"/>
      <w:r w:rsidRPr="005B72A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B72A7">
        <w:rPr>
          <w:rFonts w:ascii="Times New Roman" w:hAnsi="Times New Roman" w:cs="Times New Roman"/>
          <w:sz w:val="28"/>
          <w:szCs w:val="28"/>
        </w:rPr>
        <w:t xml:space="preserve"> РФ</w:t>
      </w:r>
      <w:r w:rsidR="00370CCA">
        <w:rPr>
          <w:rFonts w:ascii="Times New Roman" w:hAnsi="Times New Roman" w:cs="Times New Roman"/>
          <w:sz w:val="28"/>
          <w:szCs w:val="28"/>
        </w:rPr>
        <w:t>)</w:t>
      </w:r>
      <w:r w:rsidR="00B878E2">
        <w:rPr>
          <w:rFonts w:ascii="Times New Roman" w:hAnsi="Times New Roman" w:cs="Times New Roman"/>
          <w:sz w:val="28"/>
          <w:szCs w:val="28"/>
        </w:rPr>
        <w:t>.</w:t>
      </w:r>
    </w:p>
    <w:p w:rsidR="00B878E2" w:rsidRPr="007D2B0D" w:rsidRDefault="00B878E2" w:rsidP="00B878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строительный надзор, 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астью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осуществляется:</w:t>
      </w:r>
    </w:p>
    <w:p w:rsidR="00B878E2" w:rsidRPr="007D2B0D" w:rsidRDefault="00B878E2" w:rsidP="00B8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строительстве объектов капитального строительства, проектная документация которых подлежит экспертизе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49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proofErr w:type="spellStart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78E2" w:rsidRDefault="00B878E2" w:rsidP="00B8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указанных работ по сохранению объектов культурного наследия, подлежит экспертизе в соответствии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случая, предусмотренного частью 3.3 статьи 49 </w:t>
      </w:r>
      <w:proofErr w:type="spellStart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749" w:rsidRDefault="00B878E2" w:rsidP="00142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 Федеральном законе 248-ФЗ при наличии которых, осуществляется государственный строительный надзор в отношении объектов, не указанных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05AE7" w:rsidRPr="00C9635D" w:rsidRDefault="00105AE7" w:rsidP="00142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B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B25ED9">
        <w:rPr>
          <w:rFonts w:ascii="Times New Roman" w:hAnsi="Times New Roman" w:cs="Times New Roman"/>
          <w:sz w:val="28"/>
          <w:szCs w:val="28"/>
        </w:rPr>
        <w:t>на 01.</w:t>
      </w:r>
      <w:r w:rsidR="00A15916" w:rsidRPr="00B25ED9">
        <w:rPr>
          <w:rFonts w:ascii="Times New Roman" w:hAnsi="Times New Roman" w:cs="Times New Roman"/>
          <w:sz w:val="28"/>
          <w:szCs w:val="28"/>
        </w:rPr>
        <w:t>10</w:t>
      </w:r>
      <w:r w:rsidRPr="00B25ED9">
        <w:rPr>
          <w:rFonts w:ascii="Times New Roman" w:hAnsi="Times New Roman" w:cs="Times New Roman"/>
          <w:sz w:val="28"/>
          <w:szCs w:val="28"/>
        </w:rPr>
        <w:t>.202</w:t>
      </w:r>
      <w:r w:rsidR="00855033" w:rsidRPr="00B25ED9">
        <w:rPr>
          <w:rFonts w:ascii="Times New Roman" w:hAnsi="Times New Roman" w:cs="Times New Roman"/>
          <w:sz w:val="28"/>
          <w:szCs w:val="28"/>
        </w:rPr>
        <w:t>2</w:t>
      </w:r>
      <w:r w:rsidRPr="00B25ED9">
        <w:rPr>
          <w:rFonts w:ascii="Times New Roman" w:hAnsi="Times New Roman" w:cs="Times New Roman"/>
          <w:sz w:val="28"/>
          <w:szCs w:val="28"/>
        </w:rPr>
        <w:t xml:space="preserve"> инспекция осуществляет региональный государственный строительный надзор в</w:t>
      </w:r>
      <w:r w:rsidRPr="00CC09B2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sz w:val="28"/>
          <w:szCs w:val="28"/>
        </w:rPr>
        <w:t>отношении</w:t>
      </w:r>
      <w:r w:rsidR="00B668C6"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="008F7A0A" w:rsidRPr="00C9635D">
        <w:rPr>
          <w:rFonts w:ascii="Times New Roman" w:hAnsi="Times New Roman" w:cs="Times New Roman"/>
          <w:sz w:val="28"/>
          <w:szCs w:val="28"/>
        </w:rPr>
        <w:t>10</w:t>
      </w:r>
      <w:r w:rsidR="00A15916">
        <w:rPr>
          <w:rFonts w:ascii="Times New Roman" w:hAnsi="Times New Roman" w:cs="Times New Roman"/>
          <w:sz w:val="28"/>
          <w:szCs w:val="28"/>
        </w:rPr>
        <w:t>22</w:t>
      </w:r>
      <w:r w:rsidR="00B878E2" w:rsidRPr="00C9635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00AFA" w:rsidRPr="00C9635D">
        <w:rPr>
          <w:rFonts w:ascii="Times New Roman" w:hAnsi="Times New Roman" w:cs="Times New Roman"/>
          <w:sz w:val="28"/>
          <w:szCs w:val="28"/>
        </w:rPr>
        <w:t>ов</w:t>
      </w:r>
      <w:r w:rsidR="00B878E2" w:rsidRPr="00C9635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реконструкции, в том числе: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35D">
        <w:rPr>
          <w:rFonts w:ascii="Times New Roman" w:hAnsi="Times New Roman" w:cs="Times New Roman"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492</w:t>
      </w:r>
      <w:r w:rsidR="00B668C6" w:rsidRPr="00C96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8C6" w:rsidRPr="00C9635D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B668C6" w:rsidRPr="00C9635D">
        <w:rPr>
          <w:rFonts w:ascii="Times New Roman" w:hAnsi="Times New Roman" w:cs="Times New Roman"/>
          <w:sz w:val="28"/>
          <w:szCs w:val="28"/>
        </w:rPr>
        <w:t xml:space="preserve"> жилых дома</w:t>
      </w:r>
      <w:r w:rsidRPr="00C963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sz w:val="28"/>
          <w:szCs w:val="28"/>
        </w:rPr>
        <w:t>- </w:t>
      </w:r>
      <w:r w:rsidR="008F7A0A" w:rsidRPr="00C9635D">
        <w:rPr>
          <w:rFonts w:ascii="Times New Roman" w:hAnsi="Times New Roman" w:cs="Times New Roman"/>
          <w:sz w:val="28"/>
          <w:szCs w:val="28"/>
        </w:rPr>
        <w:t>24</w:t>
      </w:r>
      <w:r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8F7A0A" w:rsidRPr="00C9635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учебно-воспитательного назначения;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49</w:t>
      </w:r>
      <w:r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="00B668C6" w:rsidRPr="00C9635D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8F7A0A" w:rsidRPr="00C9635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здравоохранения и социального обслуживания,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31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объект для культурно-досуговой деятельности населения;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18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гостиниц;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52</w:t>
      </w:r>
      <w:r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здани</w:t>
      </w:r>
      <w:r w:rsidR="008F7A0A" w:rsidRPr="00C9635D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общественного и административного назначения;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43</w:t>
      </w:r>
      <w:r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здани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торговли и общественного питания;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855033" w:rsidRPr="00C9635D">
        <w:rPr>
          <w:rFonts w:ascii="Times New Roman" w:hAnsi="Times New Roman" w:cs="Times New Roman"/>
          <w:sz w:val="28"/>
          <w:szCs w:val="28"/>
        </w:rPr>
        <w:t>8</w:t>
      </w:r>
      <w:r w:rsidR="00A15916">
        <w:rPr>
          <w:rFonts w:ascii="Times New Roman" w:hAnsi="Times New Roman" w:cs="Times New Roman"/>
          <w:sz w:val="28"/>
          <w:szCs w:val="28"/>
        </w:rPr>
        <w:t>2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здани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и сооружений производственного и складского назначения;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 </w:t>
      </w:r>
      <w:r w:rsidR="00A15916">
        <w:rPr>
          <w:rFonts w:ascii="Times New Roman" w:hAnsi="Times New Roman" w:cs="Times New Roman"/>
          <w:bCs/>
          <w:iCs/>
          <w:sz w:val="28"/>
          <w:szCs w:val="28"/>
        </w:rPr>
        <w:t>35</w:t>
      </w:r>
      <w:r w:rsidR="00844C02"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инженерного обеспечения и связи, из них </w:t>
      </w:r>
      <w:r w:rsidR="00A15916">
        <w:rPr>
          <w:rFonts w:ascii="Times New Roman" w:hAnsi="Times New Roman" w:cs="Times New Roman"/>
          <w:sz w:val="28"/>
          <w:szCs w:val="28"/>
        </w:rPr>
        <w:t>28</w:t>
      </w:r>
      <w:r w:rsidR="008F7A0A"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скважин и водозаборов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855033" w:rsidRPr="00C9635D">
        <w:rPr>
          <w:rFonts w:ascii="Times New Roman" w:hAnsi="Times New Roman" w:cs="Times New Roman"/>
          <w:sz w:val="28"/>
          <w:szCs w:val="28"/>
        </w:rPr>
        <w:t>3</w:t>
      </w:r>
      <w:r w:rsidR="008F7A0A" w:rsidRPr="00C9635D">
        <w:rPr>
          <w:rFonts w:ascii="Times New Roman" w:hAnsi="Times New Roman" w:cs="Times New Roman"/>
          <w:sz w:val="28"/>
          <w:szCs w:val="28"/>
        </w:rPr>
        <w:t>5</w:t>
      </w:r>
      <w:r w:rsidR="00844C02"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объект</w:t>
      </w:r>
      <w:r w:rsidR="00844C02" w:rsidRPr="00C9635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транспортной инфраструктуры, в том числе </w:t>
      </w:r>
      <w:r w:rsidR="00844C02" w:rsidRPr="00C9635D">
        <w:rPr>
          <w:rFonts w:ascii="Times New Roman" w:hAnsi="Times New Roman" w:cs="Times New Roman"/>
          <w:sz w:val="28"/>
          <w:szCs w:val="28"/>
        </w:rPr>
        <w:t>3</w:t>
      </w:r>
      <w:r w:rsidR="00A15916">
        <w:rPr>
          <w:rFonts w:ascii="Times New Roman" w:hAnsi="Times New Roman" w:cs="Times New Roman"/>
          <w:sz w:val="28"/>
          <w:szCs w:val="28"/>
        </w:rPr>
        <w:t>0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подземных и надземных открытых автостоянок и гаражных комплексов;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B668C6" w:rsidRPr="00C9635D">
        <w:rPr>
          <w:rFonts w:ascii="Times New Roman" w:hAnsi="Times New Roman" w:cs="Times New Roman"/>
          <w:sz w:val="28"/>
          <w:szCs w:val="28"/>
        </w:rPr>
        <w:t>2</w:t>
      </w:r>
      <w:r w:rsidR="00A15916">
        <w:rPr>
          <w:rFonts w:ascii="Times New Roman" w:hAnsi="Times New Roman" w:cs="Times New Roman"/>
          <w:sz w:val="28"/>
          <w:szCs w:val="28"/>
        </w:rPr>
        <w:t>5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объект</w:t>
      </w:r>
      <w:r w:rsidR="00B668C6" w:rsidRPr="00C9635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энергетики;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85</w:t>
      </w:r>
      <w:r w:rsidR="00844C02"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линейн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="008F7A0A"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объект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, в том числе:</w:t>
      </w:r>
    </w:p>
    <w:p w:rsidR="00B878E2" w:rsidRPr="00C9635D" w:rsidRDefault="00B878E2" w:rsidP="00B878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15916">
        <w:rPr>
          <w:rFonts w:ascii="Times New Roman" w:hAnsi="Times New Roman" w:cs="Times New Roman"/>
          <w:sz w:val="28"/>
          <w:szCs w:val="28"/>
        </w:rPr>
        <w:t>9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газопровод</w:t>
      </w:r>
      <w:r w:rsidR="00CC09B2" w:rsidRPr="00C9635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B878E2" w:rsidRPr="00C9635D" w:rsidRDefault="00B878E2" w:rsidP="00B878E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15916">
        <w:rPr>
          <w:rFonts w:ascii="Times New Roman" w:hAnsi="Times New Roman" w:cs="Times New Roman"/>
          <w:sz w:val="28"/>
          <w:szCs w:val="28"/>
        </w:rPr>
        <w:t>26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объект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сетей водопровода и канализации; </w:t>
      </w:r>
    </w:p>
    <w:p w:rsidR="00B878E2" w:rsidRPr="00C9635D" w:rsidRDefault="00B878E2" w:rsidP="00B878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15916">
        <w:rPr>
          <w:rFonts w:ascii="Times New Roman" w:hAnsi="Times New Roman" w:cs="Times New Roman"/>
          <w:sz w:val="28"/>
          <w:szCs w:val="28"/>
        </w:rPr>
        <w:t>42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автодорог</w:t>
      </w:r>
      <w:r w:rsidR="00CB3B2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, общей протяженностью </w:t>
      </w:r>
      <w:r w:rsidR="00A15916">
        <w:rPr>
          <w:rFonts w:ascii="Times New Roman" w:hAnsi="Times New Roman" w:cs="Times New Roman"/>
          <w:bCs/>
          <w:iCs/>
          <w:sz w:val="28"/>
          <w:szCs w:val="28"/>
        </w:rPr>
        <w:t>56,528</w:t>
      </w:r>
      <w:r w:rsidR="00855033"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км; 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A15916">
        <w:rPr>
          <w:rFonts w:ascii="Times New Roman" w:hAnsi="Times New Roman" w:cs="Times New Roman"/>
          <w:sz w:val="28"/>
          <w:szCs w:val="28"/>
        </w:rPr>
        <w:t>8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автомобильных и пешеходных мостов;</w:t>
      </w:r>
    </w:p>
    <w:p w:rsidR="00B878E2" w:rsidRPr="00C9635D" w:rsidRDefault="00B878E2" w:rsidP="00B87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="00A15916">
        <w:rPr>
          <w:rFonts w:ascii="Times New Roman" w:hAnsi="Times New Roman" w:cs="Times New Roman"/>
          <w:sz w:val="28"/>
          <w:szCs w:val="28"/>
        </w:rPr>
        <w:t>51</w:t>
      </w:r>
      <w:r w:rsidR="00B668C6" w:rsidRPr="00C9635D">
        <w:rPr>
          <w:rFonts w:ascii="Times New Roman" w:hAnsi="Times New Roman" w:cs="Times New Roman"/>
          <w:sz w:val="28"/>
          <w:szCs w:val="28"/>
        </w:rPr>
        <w:t xml:space="preserve"> </w:t>
      </w:r>
      <w:r w:rsidRPr="00C9635D">
        <w:rPr>
          <w:rFonts w:ascii="Times New Roman" w:hAnsi="Times New Roman" w:cs="Times New Roman"/>
          <w:bCs/>
          <w:iCs/>
          <w:sz w:val="28"/>
          <w:szCs w:val="28"/>
        </w:rPr>
        <w:t>прочие</w:t>
      </w:r>
      <w:r w:rsidR="00447788">
        <w:rPr>
          <w:rFonts w:ascii="Times New Roman" w:hAnsi="Times New Roman" w:cs="Times New Roman"/>
          <w:bCs/>
          <w:iCs/>
          <w:sz w:val="28"/>
          <w:szCs w:val="28"/>
        </w:rPr>
        <w:t xml:space="preserve"> объекты</w:t>
      </w:r>
      <w:r w:rsidR="00BC5CC6" w:rsidRPr="00C96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60952"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24F1" w:rsidRPr="00C9635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A15916" w:rsidRPr="006F61B9" w:rsidRDefault="001A6749" w:rsidP="00E946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35D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="00A15916"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A15916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435-п,</w:t>
      </w:r>
      <w:r w:rsidR="00E9464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15916">
        <w:rPr>
          <w:rFonts w:ascii="Times New Roman" w:hAnsi="Times New Roman"/>
          <w:sz w:val="28"/>
          <w:szCs w:val="28"/>
          <w:lang w:eastAsia="ru-RU"/>
        </w:rPr>
        <w:t>п</w:t>
      </w:r>
      <w:r w:rsidR="00A15916" w:rsidRPr="006F61B9">
        <w:rPr>
          <w:rFonts w:ascii="Times New Roman" w:hAnsi="Times New Roman"/>
          <w:sz w:val="28"/>
          <w:szCs w:val="28"/>
          <w:lang w:eastAsia="ru-RU"/>
        </w:rPr>
        <w:t xml:space="preserve"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</w:t>
      </w:r>
      <w:r w:rsidR="00CB3B28">
        <w:rPr>
          <w:rFonts w:ascii="Times New Roman" w:hAnsi="Times New Roman"/>
          <w:sz w:val="28"/>
          <w:szCs w:val="28"/>
          <w:lang w:eastAsia="ru-RU"/>
        </w:rPr>
        <w:t>и</w:t>
      </w:r>
      <w:r w:rsidR="00A15916" w:rsidRPr="006F61B9">
        <w:rPr>
          <w:rFonts w:ascii="Times New Roman" w:hAnsi="Times New Roman"/>
          <w:sz w:val="28"/>
          <w:szCs w:val="28"/>
          <w:lang w:eastAsia="ru-RU"/>
        </w:rPr>
        <w:t>нспекцией профилактических мероприятий, их содержание, интенсивность и результаты.</w:t>
      </w:r>
      <w:proofErr w:type="gramEnd"/>
    </w:p>
    <w:p w:rsidR="00A15916" w:rsidRPr="006F61B9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36711D" w:rsidRPr="0001014C" w:rsidRDefault="0036711D" w:rsidP="00A15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14C">
        <w:rPr>
          <w:rFonts w:ascii="Times New Roman" w:hAnsi="Times New Roman"/>
          <w:sz w:val="28"/>
          <w:szCs w:val="28"/>
        </w:rPr>
        <w:t xml:space="preserve">1) </w:t>
      </w:r>
      <w:r w:rsidRPr="0001014C">
        <w:rPr>
          <w:rFonts w:ascii="Times New Roman" w:hAnsi="Times New Roman"/>
          <w:b/>
          <w:sz w:val="28"/>
          <w:szCs w:val="28"/>
        </w:rPr>
        <w:t>высокий риск</w:t>
      </w:r>
      <w:r w:rsidRPr="0001014C">
        <w:rPr>
          <w:rFonts w:ascii="Times New Roman" w:hAnsi="Times New Roman"/>
          <w:sz w:val="28"/>
          <w:szCs w:val="28"/>
        </w:rPr>
        <w:t xml:space="preserve"> – </w:t>
      </w:r>
      <w:r w:rsidR="00C975A9" w:rsidRPr="00C975A9">
        <w:rPr>
          <w:rFonts w:ascii="Times New Roman" w:hAnsi="Times New Roman"/>
          <w:sz w:val="28"/>
          <w:szCs w:val="28"/>
        </w:rPr>
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</w:r>
      <w:r w:rsidRPr="0001014C">
        <w:rPr>
          <w:rFonts w:ascii="Times New Roman" w:hAnsi="Times New Roman"/>
          <w:sz w:val="28"/>
          <w:szCs w:val="28"/>
        </w:rPr>
        <w:t>;</w:t>
      </w:r>
    </w:p>
    <w:p w:rsidR="0036711D" w:rsidRPr="0001014C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14C">
        <w:rPr>
          <w:rFonts w:ascii="Times New Roman" w:hAnsi="Times New Roman"/>
          <w:sz w:val="28"/>
          <w:szCs w:val="28"/>
        </w:rPr>
        <w:t xml:space="preserve">2) </w:t>
      </w:r>
      <w:r w:rsidRPr="0001014C">
        <w:rPr>
          <w:rFonts w:ascii="Times New Roman" w:hAnsi="Times New Roman"/>
          <w:b/>
          <w:sz w:val="28"/>
          <w:szCs w:val="28"/>
        </w:rPr>
        <w:t>значительный риск</w:t>
      </w:r>
      <w:r w:rsidRPr="0001014C">
        <w:rPr>
          <w:rFonts w:ascii="Times New Roman" w:hAnsi="Times New Roman"/>
          <w:sz w:val="28"/>
          <w:szCs w:val="28"/>
        </w:rPr>
        <w:t xml:space="preserve"> – производственные здания;</w:t>
      </w:r>
    </w:p>
    <w:p w:rsidR="0036711D" w:rsidRPr="00C9635D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35D">
        <w:rPr>
          <w:rFonts w:ascii="Times New Roman" w:hAnsi="Times New Roman"/>
          <w:sz w:val="28"/>
          <w:szCs w:val="28"/>
        </w:rPr>
        <w:t xml:space="preserve">3) </w:t>
      </w:r>
      <w:r w:rsidRPr="00C9635D">
        <w:rPr>
          <w:rFonts w:ascii="Times New Roman" w:hAnsi="Times New Roman"/>
          <w:b/>
          <w:sz w:val="28"/>
          <w:szCs w:val="28"/>
        </w:rPr>
        <w:t>низкий риск</w:t>
      </w:r>
      <w:r w:rsidRPr="00C9635D">
        <w:rPr>
          <w:rFonts w:ascii="Times New Roman" w:hAnsi="Times New Roman"/>
          <w:sz w:val="28"/>
          <w:szCs w:val="28"/>
        </w:rPr>
        <w:t xml:space="preserve"> – </w:t>
      </w:r>
      <w:r w:rsidR="00C975A9" w:rsidRPr="00C9635D">
        <w:rPr>
          <w:rFonts w:ascii="Times New Roman" w:hAnsi="Times New Roman"/>
          <w:sz w:val="28"/>
          <w:szCs w:val="28"/>
        </w:rPr>
        <w:t>объекты капитального строительства, не указанные в подпунктах 1 и 2 настоящего пункта</w:t>
      </w:r>
      <w:r w:rsidRPr="00C9635D">
        <w:rPr>
          <w:rFonts w:ascii="Times New Roman" w:hAnsi="Times New Roman"/>
          <w:sz w:val="28"/>
          <w:szCs w:val="28"/>
        </w:rPr>
        <w:t>.</w:t>
      </w:r>
    </w:p>
    <w:p w:rsidR="00867680" w:rsidRPr="00C9635D" w:rsidRDefault="00C975A9" w:rsidP="000C5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635D"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к определенной категории риска осуществляется приказом </w:t>
      </w:r>
      <w:r w:rsidR="00A97710" w:rsidRPr="00C9635D">
        <w:rPr>
          <w:rFonts w:ascii="Times New Roman" w:hAnsi="Times New Roman"/>
          <w:sz w:val="28"/>
          <w:szCs w:val="28"/>
        </w:rPr>
        <w:t>и</w:t>
      </w:r>
      <w:r w:rsidRPr="00C9635D">
        <w:rPr>
          <w:rFonts w:ascii="Times New Roman" w:hAnsi="Times New Roman"/>
          <w:sz w:val="28"/>
          <w:szCs w:val="28"/>
        </w:rPr>
        <w:t>нспекции после получения извещения о начале строительства (реконструкции) объекта капитального строительства</w:t>
      </w:r>
      <w:r w:rsidR="000C50CB" w:rsidRPr="00C9635D">
        <w:rPr>
          <w:rFonts w:ascii="Times New Roman" w:hAnsi="Times New Roman"/>
          <w:sz w:val="28"/>
          <w:szCs w:val="28"/>
        </w:rPr>
        <w:t>.</w:t>
      </w:r>
    </w:p>
    <w:p w:rsidR="00867680" w:rsidRDefault="00867680" w:rsidP="00D5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 w:rsidRPr="00C9635D">
        <w:rPr>
          <w:rFonts w:ascii="Times New Roman" w:hAnsi="Times New Roman" w:cs="Times New Roman"/>
          <w:sz w:val="28"/>
          <w:szCs w:val="28"/>
        </w:rPr>
        <w:t>объектов государственного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надзора по категориям риска по </w:t>
      </w:r>
      <w:r w:rsidRPr="00B25ED9">
        <w:rPr>
          <w:rFonts w:ascii="Times New Roman" w:hAnsi="Times New Roman" w:cs="Times New Roman"/>
          <w:sz w:val="28"/>
          <w:szCs w:val="28"/>
        </w:rPr>
        <w:t>состоянию на 01.</w:t>
      </w:r>
      <w:r w:rsidR="00A15916" w:rsidRPr="00B25ED9">
        <w:rPr>
          <w:rFonts w:ascii="Times New Roman" w:hAnsi="Times New Roman" w:cs="Times New Roman"/>
          <w:sz w:val="28"/>
          <w:szCs w:val="28"/>
        </w:rPr>
        <w:t>10</w:t>
      </w:r>
      <w:r w:rsidRPr="00B25ED9">
        <w:rPr>
          <w:rFonts w:ascii="Times New Roman" w:hAnsi="Times New Roman" w:cs="Times New Roman"/>
          <w:sz w:val="28"/>
          <w:szCs w:val="28"/>
        </w:rPr>
        <w:t>.202</w:t>
      </w:r>
      <w:r w:rsidR="00F630FE" w:rsidRPr="00B25ED9">
        <w:rPr>
          <w:rFonts w:ascii="Times New Roman" w:hAnsi="Times New Roman" w:cs="Times New Roman"/>
          <w:sz w:val="28"/>
          <w:szCs w:val="28"/>
        </w:rPr>
        <w:t>2</w:t>
      </w:r>
      <w:r w:rsidRPr="00B25ED9"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D51701" w:rsidRDefault="00D51701" w:rsidP="0086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1701" w:rsidRDefault="00D51701" w:rsidP="0086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1701" w:rsidRDefault="00D51701" w:rsidP="0086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7680" w:rsidRPr="00E72B60" w:rsidRDefault="00D51701" w:rsidP="00D5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473E73" wp14:editId="4E339F36">
            <wp:extent cx="5596128" cy="2852928"/>
            <wp:effectExtent l="0" t="0" r="24130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41B8" w:rsidRDefault="00EC41B8" w:rsidP="00E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1 декабря 2021 г. № 2161, объектами регионального государственного строительного надзора являются:</w:t>
      </w: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 xml:space="preserve">, в 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;</w:t>
      </w:r>
    </w:p>
    <w:p w:rsidR="008552CB" w:rsidRPr="00E72B60" w:rsidRDefault="00EC41B8" w:rsidP="00E72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 xml:space="preserve">, в 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.</w:t>
      </w:r>
    </w:p>
    <w:p w:rsidR="00867680" w:rsidRPr="00336251" w:rsidRDefault="001A2518" w:rsidP="008676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0B8C"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</w:t>
      </w:r>
      <w:r w:rsidR="009C0B8C" w:rsidRPr="009C0B8C">
        <w:rPr>
          <w:rFonts w:ascii="Times New Roman" w:hAnsi="Times New Roman" w:cs="Times New Roman"/>
          <w:sz w:val="28"/>
          <w:szCs w:val="28"/>
        </w:rPr>
        <w:lastRenderedPageBreak/>
        <w:t>на основании соглашений свои функции застройщика) строительство, реконструкцию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>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="00B64E4F" w:rsidRPr="00B64E4F"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F30069"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0069"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 w:rsidR="00F30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680" w:rsidRPr="00BE1B75" w:rsidRDefault="00867680" w:rsidP="0086768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916139" w:rsidRPr="00F30069">
        <w:rPr>
          <w:rFonts w:ascii="Times New Roman" w:hAnsi="Times New Roman" w:cs="Times New Roman"/>
          <w:color w:val="auto"/>
          <w:sz w:val="28"/>
          <w:szCs w:val="28"/>
        </w:rPr>
        <w:t>подконтрольной</w:t>
      </w:r>
      <w:r w:rsidRPr="00F30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сферы</w:t>
      </w:r>
    </w:p>
    <w:p w:rsidR="007702C1" w:rsidRPr="00B54A04" w:rsidRDefault="007702C1" w:rsidP="007702C1">
      <w:pPr>
        <w:pStyle w:val="a6"/>
        <w:ind w:left="50" w:firstLine="69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государственный строительный надзор осуществляется посредством организации и проведе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контрольных (надзорных) мероприятий в отношении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2518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контролируемых </w:t>
      </w:r>
      <w:r w:rsidR="001A25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702C1" w:rsidRPr="00B54A04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</w:t>
      </w:r>
      <w:r w:rsidR="007975F6">
        <w:rPr>
          <w:rFonts w:ascii="Times New Roman" w:hAnsi="Times New Roman" w:cs="Times New Roman"/>
          <w:sz w:val="28"/>
          <w:szCs w:val="28"/>
        </w:rPr>
        <w:t>3</w:t>
      </w:r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8" w:history="1">
        <w:r w:rsidRPr="00B54A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является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7702C1" w:rsidRPr="00B54A04" w:rsidRDefault="007702C1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</w:t>
      </w:r>
      <w:hyperlink r:id="rId19" w:history="1">
        <w:r w:rsidR="000A0188">
          <w:rPr>
            <w:rFonts w:ascii="Times New Roman" w:hAnsi="Times New Roman" w:cs="Times New Roman"/>
            <w:color w:val="0000FF"/>
            <w:sz w:val="28"/>
            <w:szCs w:val="28"/>
          </w:rPr>
          <w:t>частями 15</w:t>
        </w:r>
      </w:hyperlink>
      <w:r w:rsidR="000A018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0A0188">
          <w:rPr>
            <w:rFonts w:ascii="Times New Roman" w:hAnsi="Times New Roman" w:cs="Times New Roman"/>
            <w:color w:val="0000FF"/>
            <w:sz w:val="28"/>
            <w:szCs w:val="28"/>
          </w:rPr>
          <w:t>15.2</w:t>
        </w:r>
      </w:hyperlink>
      <w:r w:rsidR="000A01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0A0188">
          <w:rPr>
            <w:rFonts w:ascii="Times New Roman" w:hAnsi="Times New Roman" w:cs="Times New Roman"/>
            <w:color w:val="0000FF"/>
            <w:sz w:val="28"/>
            <w:szCs w:val="28"/>
          </w:rPr>
          <w:t>15.3 статьи 48</w:t>
        </w:r>
      </w:hyperlink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</w:t>
      </w:r>
      <w:hyperlink r:id="rId22" w:history="1">
        <w:r w:rsidR="000A0188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52</w:t>
        </w:r>
      </w:hyperlink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="000A0188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РФ)</w:t>
      </w:r>
      <w:r w:rsidRPr="00B5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разрешения на строительство;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 выполнения требований, установленных частями 2, 3 и 3.1 статьи 52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</w:t>
      </w:r>
      <w:r w:rsidR="000A01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0188" w:rsidRDefault="000A0188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требований, установленных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 обеспечению консервации объекта капитального строительства;</w:t>
      </w:r>
    </w:p>
    <w:p w:rsidR="000A0188" w:rsidRDefault="000A0188" w:rsidP="000A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 к порядку осуществления строительного контроля,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837D6A" w:rsidRDefault="007702C1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</w:t>
      </w:r>
      <w:r w:rsidR="000C50CB">
        <w:rPr>
          <w:rFonts w:ascii="Times New Roman" w:hAnsi="Times New Roman" w:cs="Times New Roman"/>
          <w:sz w:val="28"/>
          <w:szCs w:val="28"/>
        </w:rPr>
        <w:t>в отношении объектов, указанных</w:t>
      </w:r>
      <w:r w:rsidR="008024CC">
        <w:rPr>
          <w:rFonts w:ascii="Times New Roman" w:hAnsi="Times New Roman" w:cs="Times New Roman"/>
          <w:sz w:val="28"/>
          <w:szCs w:val="28"/>
        </w:rPr>
        <w:t xml:space="preserve"> </w:t>
      </w:r>
      <w:r w:rsidR="008024CC" w:rsidRPr="00312ED6">
        <w:rPr>
          <w:rFonts w:ascii="Times New Roman" w:hAnsi="Times New Roman" w:cs="Times New Roman"/>
          <w:sz w:val="28"/>
          <w:szCs w:val="28"/>
        </w:rPr>
        <w:t>в части 2</w:t>
      </w:r>
      <w:r w:rsidRPr="00312ED6">
        <w:rPr>
          <w:rFonts w:ascii="Times New Roman" w:hAnsi="Times New Roman" w:cs="Times New Roman"/>
          <w:sz w:val="28"/>
          <w:szCs w:val="28"/>
        </w:rPr>
        <w:t xml:space="preserve"> </w:t>
      </w:r>
      <w:r w:rsidRPr="00B54A04">
        <w:rPr>
          <w:rFonts w:ascii="Times New Roman" w:hAnsi="Times New Roman" w:cs="Times New Roman"/>
          <w:sz w:val="28"/>
          <w:szCs w:val="28"/>
        </w:rPr>
        <w:t xml:space="preserve">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являются</w:t>
      </w:r>
      <w:r w:rsid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837D6A" w:rsidRDefault="00837D6A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E4F" w:rsidRPr="001A2518">
        <w:rPr>
          <w:rFonts w:ascii="Times New Roman" w:hAnsi="Times New Roman" w:cs="Times New Roman"/>
          <w:sz w:val="28"/>
          <w:szCs w:val="28"/>
        </w:rPr>
        <w:t>требований</w:t>
      </w:r>
      <w:r w:rsidR="001A2518" w:rsidRP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наличия разрешения на строительство и соответствия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, указанным в разрешении на строительство, </w:t>
      </w:r>
      <w:r>
        <w:rPr>
          <w:rFonts w:ascii="Times New Roman" w:hAnsi="Times New Roman" w:cs="Times New Roman"/>
          <w:sz w:val="28"/>
          <w:szCs w:val="28"/>
        </w:rPr>
        <w:t>если разрешение на строительство требуется для строительства или реконструкции объекта капитального строительства;</w:t>
      </w:r>
    </w:p>
    <w:p w:rsidR="00287A4B" w:rsidRDefault="00557885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</w:t>
      </w:r>
      <w:r w:rsidR="007702C1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</w:t>
      </w:r>
      <w:proofErr w:type="spellStart"/>
      <w:r w:rsidR="007702C1" w:rsidRPr="00BF170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702C1" w:rsidRPr="00BF170A">
        <w:rPr>
          <w:rFonts w:ascii="Times New Roman" w:hAnsi="Times New Roman" w:cs="Times New Roman"/>
          <w:sz w:val="28"/>
          <w:szCs w:val="28"/>
        </w:rPr>
        <w:t xml:space="preserve"> РФ</w:t>
      </w:r>
      <w:r w:rsidR="007702C1" w:rsidRPr="00B54A04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287A4B">
        <w:rPr>
          <w:rFonts w:ascii="Times New Roman" w:hAnsi="Times New Roman" w:cs="Times New Roman"/>
          <w:sz w:val="28"/>
          <w:szCs w:val="28"/>
        </w:rPr>
        <w:t>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A15916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867680" w:rsidRPr="00750092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proofErr w:type="gramStart"/>
      <w:r w:rsidRPr="007500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0092">
        <w:rPr>
          <w:rFonts w:ascii="Times New Roman" w:hAnsi="Times New Roman" w:cs="Times New Roman"/>
          <w:sz w:val="28"/>
          <w:szCs w:val="28"/>
        </w:rPr>
        <w:t xml:space="preserve"> проведенных инспекцией </w:t>
      </w:r>
      <w:r w:rsidR="00600CE2" w:rsidRPr="00750092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750092">
        <w:rPr>
          <w:rFonts w:ascii="Times New Roman" w:hAnsi="Times New Roman" w:cs="Times New Roman"/>
          <w:sz w:val="28"/>
          <w:szCs w:val="28"/>
        </w:rPr>
        <w:t xml:space="preserve"> за рассматриваемый период приведена в таблице № 1.</w:t>
      </w:r>
      <w:r w:rsidR="0049656A" w:rsidRPr="0075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57" w:rsidRPr="00750092" w:rsidRDefault="00AC4157" w:rsidP="00AC41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381"/>
        <w:gridCol w:w="887"/>
        <w:gridCol w:w="1134"/>
        <w:gridCol w:w="1346"/>
        <w:gridCol w:w="1295"/>
        <w:gridCol w:w="1328"/>
        <w:gridCol w:w="992"/>
        <w:gridCol w:w="1524"/>
      </w:tblGrid>
      <w:tr w:rsidR="005A064D" w:rsidRPr="00750092" w:rsidTr="00481E58">
        <w:trPr>
          <w:trHeight w:val="600"/>
        </w:trPr>
        <w:tc>
          <w:tcPr>
            <w:tcW w:w="250" w:type="dxa"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346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295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328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992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52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5A064D" w:rsidRPr="00750092" w:rsidTr="00481E58">
        <w:trPr>
          <w:trHeight w:val="330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1422</w:t>
            </w:r>
          </w:p>
        </w:tc>
        <w:tc>
          <w:tcPr>
            <w:tcW w:w="1346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95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28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5A064D" w:rsidRPr="00893E72" w:rsidRDefault="005A064D" w:rsidP="008F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30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346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295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28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992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5A064D" w:rsidRPr="00893E72" w:rsidRDefault="005A064D" w:rsidP="008F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15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1381" w:type="dxa"/>
            <w:vMerge w:val="restart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887" w:type="dxa"/>
            <w:noWrap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166</w:t>
            </w:r>
          </w:p>
        </w:tc>
        <w:tc>
          <w:tcPr>
            <w:tcW w:w="1328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5A064D" w:rsidRPr="00893E72" w:rsidRDefault="005A064D" w:rsidP="005A0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15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1381" w:type="dxa"/>
            <w:vMerge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87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134" w:type="dxa"/>
            <w:hideMark/>
          </w:tcPr>
          <w:p w:rsidR="005A064D" w:rsidRPr="00E97B81" w:rsidRDefault="005A064D" w:rsidP="002C6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346" w:type="dxa"/>
            <w:hideMark/>
          </w:tcPr>
          <w:p w:rsidR="005A064D" w:rsidRPr="00E97B81" w:rsidRDefault="005A064D" w:rsidP="002C64F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5A064D" w:rsidRPr="00E97B81" w:rsidRDefault="005A064D" w:rsidP="002C6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117</w:t>
            </w:r>
          </w:p>
        </w:tc>
        <w:tc>
          <w:tcPr>
            <w:tcW w:w="1328" w:type="dxa"/>
            <w:hideMark/>
          </w:tcPr>
          <w:p w:rsidR="005A064D" w:rsidRPr="00E97B81" w:rsidRDefault="005A064D" w:rsidP="002C6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5A064D" w:rsidRPr="00E97B81" w:rsidRDefault="005A064D" w:rsidP="002C6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5A064D" w:rsidRPr="00893E72" w:rsidRDefault="005A064D" w:rsidP="008F603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15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346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28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5A064D" w:rsidRPr="00893E72" w:rsidRDefault="005A064D" w:rsidP="008F603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15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46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328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524" w:type="dxa"/>
            <w:hideMark/>
          </w:tcPr>
          <w:p w:rsidR="005A064D" w:rsidRPr="00893E72" w:rsidRDefault="005A064D" w:rsidP="008F603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30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5A064D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  <w:p w:rsidR="005A064D" w:rsidRPr="001B488B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</w:p>
          <w:p w:rsidR="005A064D" w:rsidRPr="001B488B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1451</w:t>
            </w:r>
          </w:p>
        </w:tc>
        <w:tc>
          <w:tcPr>
            <w:tcW w:w="1346" w:type="dxa"/>
            <w:vAlign w:val="center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1295" w:type="dxa"/>
            <w:vAlign w:val="center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283</w:t>
            </w:r>
          </w:p>
        </w:tc>
        <w:tc>
          <w:tcPr>
            <w:tcW w:w="1328" w:type="dxa"/>
            <w:vAlign w:val="center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  <w:tc>
          <w:tcPr>
            <w:tcW w:w="1524" w:type="dxa"/>
            <w:vAlign w:val="center"/>
            <w:hideMark/>
          </w:tcPr>
          <w:p w:rsidR="005A064D" w:rsidRPr="00893E72" w:rsidRDefault="005A064D" w:rsidP="008F603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0</w:t>
            </w:r>
          </w:p>
        </w:tc>
      </w:tr>
      <w:tr w:rsidR="005A064D" w:rsidRPr="00750092" w:rsidTr="00481E58">
        <w:trPr>
          <w:trHeight w:val="330"/>
        </w:trPr>
        <w:tc>
          <w:tcPr>
            <w:tcW w:w="250" w:type="dxa"/>
            <w:noWrap/>
            <w:hideMark/>
          </w:tcPr>
          <w:p w:rsidR="005A064D" w:rsidRPr="00750092" w:rsidRDefault="005A064D" w:rsidP="00AC415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75009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Примечание:</w:t>
            </w:r>
          </w:p>
        </w:tc>
        <w:tc>
          <w:tcPr>
            <w:tcW w:w="113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346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295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328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8"/>
              </w:rPr>
            </w:pPr>
            <w:r w:rsidRPr="00893E72">
              <w:rPr>
                <w:rFonts w:ascii="Times New Roman" w:hAnsi="Times New Roman" w:cs="Times New Roman"/>
                <w:sz w:val="14"/>
                <w:szCs w:val="28"/>
                <w:u w:val="single"/>
              </w:rPr>
              <w:t>По иным основаниям</w:t>
            </w:r>
            <w:r w:rsidRPr="00893E72">
              <w:rPr>
                <w:rFonts w:ascii="Times New Roman" w:hAnsi="Times New Roman" w:cs="Times New Roman"/>
                <w:sz w:val="14"/>
                <w:szCs w:val="28"/>
              </w:rPr>
              <w:t>: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 </w:t>
            </w:r>
          </w:p>
        </w:tc>
        <w:tc>
          <w:tcPr>
            <w:tcW w:w="992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1524" w:type="dxa"/>
            <w:hideMark/>
          </w:tcPr>
          <w:p w:rsidR="005A064D" w:rsidRPr="00893E72" w:rsidRDefault="005A064D" w:rsidP="00270E1E">
            <w:pPr>
              <w:autoSpaceDE w:val="0"/>
              <w:autoSpaceDN w:val="0"/>
              <w:adjustRightInd w:val="0"/>
              <w:ind w:left="-108"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</w:tr>
    </w:tbl>
    <w:p w:rsidR="00867680" w:rsidRPr="00481E58" w:rsidRDefault="00867680" w:rsidP="0086768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867680" w:rsidRPr="00750092" w:rsidRDefault="00867680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tab/>
      </w:r>
      <w:r w:rsidR="00E97B81" w:rsidRPr="00E97B81">
        <w:rPr>
          <w:rFonts w:ascii="Times New Roman" w:hAnsi="Times New Roman" w:cs="Times New Roman"/>
          <w:sz w:val="28"/>
          <w:szCs w:val="28"/>
        </w:rPr>
        <w:t>Статистические данные по количеству выявленных инспекцией нарушений в динамике за 9 месяцев</w:t>
      </w:r>
      <w:r w:rsidR="005038AF" w:rsidRPr="00750092">
        <w:rPr>
          <w:rFonts w:ascii="Times New Roman" w:hAnsi="Times New Roman" w:cs="Times New Roman"/>
          <w:sz w:val="28"/>
          <w:szCs w:val="28"/>
        </w:rPr>
        <w:t xml:space="preserve"> </w:t>
      </w:r>
      <w:r w:rsidR="00144750" w:rsidRPr="00750092">
        <w:rPr>
          <w:rFonts w:ascii="Times New Roman" w:hAnsi="Times New Roman" w:cs="Times New Roman"/>
          <w:sz w:val="28"/>
          <w:szCs w:val="28"/>
        </w:rPr>
        <w:t>2021</w:t>
      </w:r>
      <w:r w:rsidR="00B3039D" w:rsidRPr="00750092">
        <w:rPr>
          <w:rFonts w:ascii="Times New Roman" w:hAnsi="Times New Roman" w:cs="Times New Roman"/>
          <w:sz w:val="28"/>
          <w:szCs w:val="28"/>
        </w:rPr>
        <w:t xml:space="preserve">, </w:t>
      </w:r>
      <w:r w:rsidR="00960119" w:rsidRPr="00750092">
        <w:rPr>
          <w:rFonts w:ascii="Times New Roman" w:hAnsi="Times New Roman" w:cs="Times New Roman"/>
          <w:sz w:val="28"/>
          <w:szCs w:val="28"/>
        </w:rPr>
        <w:t>202</w:t>
      </w:r>
      <w:r w:rsidR="00CB7F22" w:rsidRPr="00750092">
        <w:rPr>
          <w:rFonts w:ascii="Times New Roman" w:hAnsi="Times New Roman" w:cs="Times New Roman"/>
          <w:sz w:val="28"/>
          <w:szCs w:val="28"/>
        </w:rPr>
        <w:t>2</w:t>
      </w:r>
      <w:r w:rsidR="00960119" w:rsidRPr="00750092">
        <w:rPr>
          <w:rFonts w:ascii="Times New Roman" w:hAnsi="Times New Roman" w:cs="Times New Roman"/>
          <w:sz w:val="28"/>
          <w:szCs w:val="28"/>
        </w:rPr>
        <w:t xml:space="preserve"> год</w:t>
      </w:r>
      <w:r w:rsidR="005F3458" w:rsidRPr="00750092">
        <w:rPr>
          <w:rFonts w:ascii="Times New Roman" w:hAnsi="Times New Roman" w:cs="Times New Roman"/>
          <w:sz w:val="28"/>
          <w:szCs w:val="28"/>
        </w:rPr>
        <w:t>ы</w:t>
      </w:r>
      <w:r w:rsidRPr="00750092">
        <w:rPr>
          <w:rFonts w:ascii="Times New Roman" w:hAnsi="Times New Roman" w:cs="Times New Roman"/>
          <w:sz w:val="28"/>
          <w:szCs w:val="28"/>
        </w:rPr>
        <w:t xml:space="preserve"> приведены в таблице № 2.</w:t>
      </w:r>
    </w:p>
    <w:p w:rsidR="008C5968" w:rsidRPr="00E97B81" w:rsidRDefault="008C5968" w:rsidP="0086768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867680" w:rsidRPr="00750092" w:rsidRDefault="00867680" w:rsidP="00144750">
      <w:pPr>
        <w:spacing w:after="0" w:line="240" w:lineRule="auto"/>
        <w:jc w:val="right"/>
      </w:pPr>
      <w:r w:rsidRPr="00750092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a3"/>
        <w:tblW w:w="9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40"/>
        <w:gridCol w:w="2409"/>
        <w:gridCol w:w="1985"/>
      </w:tblGrid>
      <w:tr w:rsidR="00B3039D" w:rsidRPr="00750092" w:rsidTr="00CA39C8">
        <w:tc>
          <w:tcPr>
            <w:tcW w:w="709" w:type="dxa"/>
            <w:vMerge w:val="restart"/>
          </w:tcPr>
          <w:p w:rsidR="00B3039D" w:rsidRPr="00750092" w:rsidRDefault="00B3039D" w:rsidP="00CA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750092" w:rsidRDefault="00CA39C8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039D"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039D" w:rsidRPr="0075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3039D" w:rsidRPr="007500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0" w:type="dxa"/>
            <w:vMerge w:val="restart"/>
          </w:tcPr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2"/>
          </w:tcPr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313A7E" w:rsidRPr="00750092" w:rsidTr="00CA39C8">
        <w:trPr>
          <w:trHeight w:val="742"/>
        </w:trPr>
        <w:tc>
          <w:tcPr>
            <w:tcW w:w="709" w:type="dxa"/>
            <w:vMerge/>
          </w:tcPr>
          <w:p w:rsidR="00313A7E" w:rsidRPr="00750092" w:rsidRDefault="00313A7E" w:rsidP="0022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  <w:vMerge/>
          </w:tcPr>
          <w:p w:rsidR="00313A7E" w:rsidRPr="00750092" w:rsidRDefault="00313A7E" w:rsidP="0022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3A7E" w:rsidRPr="00750092" w:rsidRDefault="00313A7E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13A7E" w:rsidRPr="00750092" w:rsidRDefault="00313A7E" w:rsidP="00E97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E97B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313A7E" w:rsidRPr="00750092" w:rsidRDefault="00313A7E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13A7E" w:rsidRPr="00750092" w:rsidRDefault="00E97B81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01.10</w:t>
            </w:r>
            <w:r w:rsidR="00313A7E" w:rsidRPr="0075009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8F6037" w:rsidRPr="00750092" w:rsidTr="00CA39C8">
        <w:tc>
          <w:tcPr>
            <w:tcW w:w="709" w:type="dxa"/>
          </w:tcPr>
          <w:p w:rsidR="008F6037" w:rsidRPr="00750092" w:rsidRDefault="008F6037" w:rsidP="00D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8F6037" w:rsidRPr="00750092" w:rsidRDefault="008F6037" w:rsidP="00D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409" w:type="dxa"/>
          </w:tcPr>
          <w:p w:rsidR="008F6037" w:rsidRPr="00893E72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985" w:type="dxa"/>
          </w:tcPr>
          <w:p w:rsidR="008F6037" w:rsidRPr="007D09D6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8F6037" w:rsidRPr="00750092" w:rsidTr="00D51701">
        <w:tc>
          <w:tcPr>
            <w:tcW w:w="709" w:type="dxa"/>
          </w:tcPr>
          <w:p w:rsidR="008F6037" w:rsidRPr="00750092" w:rsidRDefault="008F6037" w:rsidP="00D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8F6037" w:rsidRPr="00750092" w:rsidRDefault="008F6037" w:rsidP="00D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2409" w:type="dxa"/>
          </w:tcPr>
          <w:p w:rsidR="008F6037" w:rsidRPr="00893E72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985" w:type="dxa"/>
          </w:tcPr>
          <w:p w:rsidR="008F6037" w:rsidRPr="00893E72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</w:tr>
      <w:tr w:rsidR="008F6037" w:rsidRPr="00750092" w:rsidTr="00D51701">
        <w:tc>
          <w:tcPr>
            <w:tcW w:w="709" w:type="dxa"/>
          </w:tcPr>
          <w:p w:rsidR="008F6037" w:rsidRPr="00750092" w:rsidRDefault="008F6037" w:rsidP="00D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8F6037" w:rsidRPr="00750092" w:rsidRDefault="008F6037" w:rsidP="00D517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выявленных нарушений обязательных требований при проведении надзорных мероприятий</w:t>
            </w:r>
          </w:p>
        </w:tc>
        <w:tc>
          <w:tcPr>
            <w:tcW w:w="2409" w:type="dxa"/>
          </w:tcPr>
          <w:p w:rsidR="008F6037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  <w:p w:rsidR="008F6037" w:rsidRPr="007D09D6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6037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  <w:p w:rsidR="008F6037" w:rsidRPr="00AE01A2" w:rsidRDefault="008F6037" w:rsidP="0027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80" w:rsidRPr="00750092" w:rsidRDefault="00867680" w:rsidP="0048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lastRenderedPageBreak/>
        <w:t xml:space="preserve">За рассматриваемый период происходит </w:t>
      </w:r>
      <w:r w:rsidR="00CA39C8" w:rsidRPr="00750092">
        <w:rPr>
          <w:rFonts w:ascii="Times New Roman" w:hAnsi="Times New Roman" w:cs="Times New Roman"/>
          <w:sz w:val="28"/>
          <w:szCs w:val="28"/>
        </w:rPr>
        <w:t>уменьшени</w:t>
      </w:r>
      <w:r w:rsidR="009316C6" w:rsidRPr="00750092">
        <w:rPr>
          <w:rFonts w:ascii="Times New Roman" w:hAnsi="Times New Roman" w:cs="Times New Roman"/>
          <w:sz w:val="28"/>
          <w:szCs w:val="28"/>
        </w:rPr>
        <w:t xml:space="preserve">е </w:t>
      </w:r>
      <w:r w:rsidRPr="00750092">
        <w:rPr>
          <w:rFonts w:ascii="Times New Roman" w:hAnsi="Times New Roman" w:cs="Times New Roman"/>
          <w:sz w:val="28"/>
          <w:szCs w:val="28"/>
        </w:rPr>
        <w:t xml:space="preserve">количества проведенных </w:t>
      </w:r>
      <w:r w:rsidR="000C50CB" w:rsidRPr="00750092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750092">
        <w:rPr>
          <w:rFonts w:ascii="Times New Roman" w:hAnsi="Times New Roman" w:cs="Times New Roman"/>
          <w:sz w:val="28"/>
          <w:szCs w:val="28"/>
        </w:rPr>
        <w:t xml:space="preserve">в расчете на одного инспектора, о чем свидетельствуют показатели таблицы № 3. </w:t>
      </w:r>
    </w:p>
    <w:p w:rsidR="00867680" w:rsidRPr="00750092" w:rsidRDefault="00867680" w:rsidP="00E97B81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 3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1984"/>
      </w:tblGrid>
      <w:tr w:rsidR="00B3039D" w:rsidRPr="00750092" w:rsidTr="00E97B81">
        <w:tc>
          <w:tcPr>
            <w:tcW w:w="709" w:type="dxa"/>
            <w:vMerge w:val="restart"/>
          </w:tcPr>
          <w:p w:rsidR="00B3039D" w:rsidRPr="00750092" w:rsidRDefault="00B3039D" w:rsidP="00CA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C8" w:rsidRPr="00750092" w:rsidRDefault="00CA39C8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B3039D" w:rsidRPr="00750092" w:rsidRDefault="00B3039D" w:rsidP="00CA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vAlign w:val="center"/>
          </w:tcPr>
          <w:p w:rsidR="00B3039D" w:rsidRPr="00750092" w:rsidRDefault="00B3039D" w:rsidP="002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313A7E" w:rsidRPr="00750092" w:rsidTr="00E97B81">
        <w:tc>
          <w:tcPr>
            <w:tcW w:w="709" w:type="dxa"/>
            <w:vMerge/>
          </w:tcPr>
          <w:p w:rsidR="00313A7E" w:rsidRPr="00750092" w:rsidRDefault="00313A7E" w:rsidP="0022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13A7E" w:rsidRPr="00750092" w:rsidRDefault="00313A7E" w:rsidP="0022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3A7E" w:rsidRPr="00750092" w:rsidRDefault="00313A7E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13A7E" w:rsidRPr="00750092" w:rsidRDefault="00E97B81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01.10</w:t>
            </w:r>
            <w:r w:rsidR="00313A7E" w:rsidRPr="007500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4" w:type="dxa"/>
          </w:tcPr>
          <w:p w:rsidR="00313A7E" w:rsidRPr="00750092" w:rsidRDefault="00313A7E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313A7E" w:rsidRPr="00750092" w:rsidRDefault="00E97B81" w:rsidP="002C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01.10</w:t>
            </w:r>
            <w:r w:rsidR="00313A7E" w:rsidRPr="0075009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8F6037" w:rsidRPr="00750092" w:rsidTr="00E97B81">
        <w:tc>
          <w:tcPr>
            <w:tcW w:w="709" w:type="dxa"/>
          </w:tcPr>
          <w:p w:rsidR="008F6037" w:rsidRPr="00750092" w:rsidRDefault="008F6037" w:rsidP="00D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F6037" w:rsidRPr="00750092" w:rsidRDefault="008F6037" w:rsidP="00D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268" w:type="dxa"/>
          </w:tcPr>
          <w:p w:rsidR="008F6037" w:rsidRPr="008F6037" w:rsidRDefault="008F6037" w:rsidP="008F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7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984" w:type="dxa"/>
          </w:tcPr>
          <w:p w:rsidR="008F6037" w:rsidRPr="008F6037" w:rsidRDefault="008F6037" w:rsidP="008F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7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8F6037" w:rsidRPr="00750092" w:rsidTr="00E97B81">
        <w:tc>
          <w:tcPr>
            <w:tcW w:w="709" w:type="dxa"/>
          </w:tcPr>
          <w:p w:rsidR="008F6037" w:rsidRPr="00750092" w:rsidRDefault="008F6037" w:rsidP="00D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F6037" w:rsidRPr="00750092" w:rsidRDefault="008F6037" w:rsidP="00D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инспекторов, осуществляющих проведение контрольных (надзорных) мероприятий</w:t>
            </w:r>
          </w:p>
        </w:tc>
        <w:tc>
          <w:tcPr>
            <w:tcW w:w="2268" w:type="dxa"/>
          </w:tcPr>
          <w:p w:rsidR="008F6037" w:rsidRPr="008F6037" w:rsidRDefault="008F6037" w:rsidP="008F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8F6037" w:rsidRPr="008F6037" w:rsidRDefault="008F6037" w:rsidP="008F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F6037" w:rsidRPr="00750092" w:rsidTr="006A027D">
        <w:tc>
          <w:tcPr>
            <w:tcW w:w="709" w:type="dxa"/>
          </w:tcPr>
          <w:p w:rsidR="008F6037" w:rsidRPr="00750092" w:rsidRDefault="008F6037" w:rsidP="00D5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F6037" w:rsidRPr="00750092" w:rsidRDefault="008F6037" w:rsidP="00D517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контрольных (надзорных) мероприятий, приходящихся на одного инспектора </w:t>
            </w:r>
          </w:p>
        </w:tc>
        <w:tc>
          <w:tcPr>
            <w:tcW w:w="2268" w:type="dxa"/>
          </w:tcPr>
          <w:p w:rsidR="008F6037" w:rsidRPr="008F6037" w:rsidRDefault="008F6037" w:rsidP="008F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7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984" w:type="dxa"/>
          </w:tcPr>
          <w:p w:rsidR="008F6037" w:rsidRPr="008F6037" w:rsidRDefault="008F6037" w:rsidP="008F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F3AE9" w:rsidRPr="00750092" w:rsidRDefault="00EF3AE9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0" w:rsidRPr="00750092" w:rsidRDefault="00E72B60" w:rsidP="0031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2AC" w:rsidRDefault="00867680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 xml:space="preserve">Динамика выданных предписаний об устранении нарушений </w:t>
      </w:r>
      <w:r w:rsidR="00027B89" w:rsidRPr="00750092">
        <w:rPr>
          <w:rFonts w:ascii="Times New Roman" w:hAnsi="Times New Roman" w:cs="Times New Roman"/>
          <w:sz w:val="28"/>
          <w:szCs w:val="28"/>
        </w:rPr>
        <w:t xml:space="preserve">за </w:t>
      </w:r>
      <w:r w:rsidR="00E97B81">
        <w:rPr>
          <w:rFonts w:ascii="Times New Roman" w:hAnsi="Times New Roman" w:cs="Times New Roman"/>
          <w:sz w:val="28"/>
          <w:szCs w:val="28"/>
        </w:rPr>
        <w:t>9 месяцев</w:t>
      </w:r>
      <w:r w:rsidR="00D51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1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7885">
        <w:rPr>
          <w:rFonts w:ascii="Times New Roman" w:hAnsi="Times New Roman" w:cs="Times New Roman"/>
          <w:sz w:val="28"/>
          <w:szCs w:val="28"/>
        </w:rPr>
        <w:t xml:space="preserve"> </w:t>
      </w:r>
      <w:r w:rsidR="00533FE6">
        <w:rPr>
          <w:rFonts w:ascii="Times New Roman" w:hAnsi="Times New Roman" w:cs="Times New Roman"/>
          <w:sz w:val="28"/>
          <w:szCs w:val="28"/>
        </w:rPr>
        <w:t>202</w:t>
      </w:r>
      <w:r w:rsidR="00D51701">
        <w:rPr>
          <w:rFonts w:ascii="Times New Roman" w:hAnsi="Times New Roman" w:cs="Times New Roman"/>
          <w:sz w:val="28"/>
          <w:szCs w:val="28"/>
        </w:rPr>
        <w:t>1</w:t>
      </w:r>
      <w:r w:rsidR="00533FE6">
        <w:rPr>
          <w:rFonts w:ascii="Times New Roman" w:hAnsi="Times New Roman" w:cs="Times New Roman"/>
          <w:sz w:val="28"/>
          <w:szCs w:val="28"/>
        </w:rPr>
        <w:t xml:space="preserve"> год</w:t>
      </w:r>
      <w:r w:rsidR="005F3458">
        <w:rPr>
          <w:rFonts w:ascii="Times New Roman" w:hAnsi="Times New Roman" w:cs="Times New Roman"/>
          <w:sz w:val="28"/>
          <w:szCs w:val="28"/>
        </w:rPr>
        <w:t>ы</w:t>
      </w:r>
      <w:r w:rsidR="00533FE6">
        <w:rPr>
          <w:rFonts w:ascii="Times New Roman" w:hAnsi="Times New Roman" w:cs="Times New Roman"/>
          <w:sz w:val="28"/>
          <w:szCs w:val="28"/>
        </w:rPr>
        <w:t xml:space="preserve"> </w:t>
      </w:r>
      <w:r w:rsidR="00FE051E">
        <w:rPr>
          <w:rFonts w:ascii="Times New Roman" w:hAnsi="Times New Roman" w:cs="Times New Roman"/>
          <w:sz w:val="28"/>
          <w:szCs w:val="28"/>
        </w:rPr>
        <w:t xml:space="preserve">приведена на </w:t>
      </w:r>
      <w:r>
        <w:rPr>
          <w:rFonts w:ascii="Times New Roman" w:hAnsi="Times New Roman" w:cs="Times New Roman"/>
          <w:sz w:val="28"/>
          <w:szCs w:val="28"/>
        </w:rPr>
        <w:t>рисунк</w:t>
      </w:r>
      <w:r w:rsidR="00FE05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E051E">
        <w:rPr>
          <w:rFonts w:ascii="Times New Roman" w:hAnsi="Times New Roman" w:cs="Times New Roman"/>
          <w:sz w:val="28"/>
          <w:szCs w:val="28"/>
        </w:rPr>
        <w:t>.</w:t>
      </w:r>
    </w:p>
    <w:p w:rsidR="00D51701" w:rsidRDefault="00D51701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01" w:rsidRDefault="00D51701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85">
        <w:rPr>
          <w:noProof/>
          <w:lang w:eastAsia="ru-RU"/>
        </w:rPr>
        <w:drawing>
          <wp:inline distT="0" distB="0" distL="0" distR="0" wp14:anchorId="72DBEAFE" wp14:editId="79D309C8">
            <wp:extent cx="4781550" cy="2486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D4DF3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Pr="00CB3B28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7E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</w:t>
      </w:r>
      <w:r w:rsidRPr="00CB3B28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67680" w:rsidRPr="00750092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28">
        <w:rPr>
          <w:rFonts w:ascii="Times New Roman" w:hAnsi="Times New Roman" w:cs="Times New Roman"/>
          <w:sz w:val="28"/>
          <w:szCs w:val="28"/>
        </w:rPr>
        <w:t>Основным видом административного наказания</w:t>
      </w:r>
      <w:r w:rsidR="005148BB" w:rsidRPr="00CB3B28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CB3B28">
        <w:rPr>
          <w:rFonts w:ascii="Times New Roman" w:hAnsi="Times New Roman" w:cs="Times New Roman"/>
          <w:sz w:val="28"/>
          <w:szCs w:val="28"/>
        </w:rPr>
        <w:t xml:space="preserve">за </w:t>
      </w:r>
      <w:r w:rsidR="00424D2B" w:rsidRPr="00CB3B28">
        <w:rPr>
          <w:rFonts w:ascii="Times New Roman" w:hAnsi="Times New Roman" w:cs="Times New Roman"/>
          <w:sz w:val="28"/>
          <w:szCs w:val="28"/>
        </w:rPr>
        <w:t>9 месяцев</w:t>
      </w:r>
      <w:r w:rsidR="00ED4DF3" w:rsidRPr="00CB3B28">
        <w:rPr>
          <w:rFonts w:ascii="Times New Roman" w:hAnsi="Times New Roman" w:cs="Times New Roman"/>
          <w:sz w:val="28"/>
          <w:szCs w:val="28"/>
        </w:rPr>
        <w:t xml:space="preserve"> 2022</w:t>
      </w:r>
      <w:r w:rsidR="005148BB" w:rsidRPr="00CB3B28">
        <w:rPr>
          <w:rFonts w:ascii="Times New Roman" w:hAnsi="Times New Roman" w:cs="Times New Roman"/>
          <w:sz w:val="28"/>
          <w:szCs w:val="28"/>
        </w:rPr>
        <w:t xml:space="preserve"> год</w:t>
      </w:r>
      <w:r w:rsidR="00ED4DF3" w:rsidRPr="00CB3B28">
        <w:rPr>
          <w:rFonts w:ascii="Times New Roman" w:hAnsi="Times New Roman" w:cs="Times New Roman"/>
          <w:sz w:val="28"/>
          <w:szCs w:val="28"/>
        </w:rPr>
        <w:t>а</w:t>
      </w:r>
      <w:r w:rsidRPr="00CB3B28">
        <w:rPr>
          <w:rFonts w:ascii="Times New Roman" w:hAnsi="Times New Roman" w:cs="Times New Roman"/>
          <w:sz w:val="28"/>
          <w:szCs w:val="28"/>
        </w:rPr>
        <w:t>, применяемого инспекцией</w:t>
      </w:r>
      <w:r w:rsidR="005148BB" w:rsidRPr="00CB3B28">
        <w:rPr>
          <w:rFonts w:ascii="Times New Roman" w:hAnsi="Times New Roman" w:cs="Times New Roman"/>
          <w:sz w:val="28"/>
          <w:szCs w:val="28"/>
        </w:rPr>
        <w:t xml:space="preserve"> и судами Новосибирской области</w:t>
      </w:r>
      <w:r w:rsidRPr="00CB3B28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CB10E0" w:rsidRPr="00CB3B28">
        <w:rPr>
          <w:rFonts w:ascii="Times New Roman" w:hAnsi="Times New Roman" w:cs="Times New Roman"/>
          <w:sz w:val="28"/>
          <w:szCs w:val="28"/>
        </w:rPr>
        <w:t>административный штраф</w:t>
      </w:r>
      <w:r w:rsidR="007741EA" w:rsidRPr="00CB3B28">
        <w:rPr>
          <w:rFonts w:ascii="Times New Roman" w:hAnsi="Times New Roman" w:cs="Times New Roman"/>
          <w:sz w:val="28"/>
          <w:szCs w:val="28"/>
        </w:rPr>
        <w:t xml:space="preserve"> (</w:t>
      </w:r>
      <w:r w:rsidR="00823DD4" w:rsidRPr="00481E58">
        <w:rPr>
          <w:rFonts w:ascii="Times New Roman" w:hAnsi="Times New Roman" w:cs="Times New Roman"/>
          <w:sz w:val="28"/>
          <w:szCs w:val="28"/>
        </w:rPr>
        <w:t>196</w:t>
      </w:r>
      <w:r w:rsidR="00E62F7D" w:rsidRPr="00CB3B28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ED4DF3" w:rsidRPr="00CB3B28">
        <w:rPr>
          <w:rFonts w:ascii="Times New Roman" w:hAnsi="Times New Roman" w:cs="Times New Roman"/>
          <w:sz w:val="28"/>
          <w:szCs w:val="28"/>
        </w:rPr>
        <w:t>/решений</w:t>
      </w:r>
      <w:r w:rsidR="00E62F7D" w:rsidRPr="00CB3B28">
        <w:rPr>
          <w:rFonts w:ascii="Times New Roman" w:hAnsi="Times New Roman" w:cs="Times New Roman"/>
          <w:sz w:val="28"/>
          <w:szCs w:val="28"/>
        </w:rPr>
        <w:t xml:space="preserve"> инспекции, постановлений/решений судов НСО)</w:t>
      </w:r>
      <w:r w:rsidRPr="00CB3B28">
        <w:rPr>
          <w:rFonts w:ascii="Times New Roman" w:hAnsi="Times New Roman" w:cs="Times New Roman"/>
          <w:sz w:val="28"/>
          <w:szCs w:val="28"/>
        </w:rPr>
        <w:t>.</w:t>
      </w:r>
      <w:r w:rsidR="00E62F7D" w:rsidRPr="0075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Pr="00313A7E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Динамика применения административн</w:t>
      </w:r>
      <w:r w:rsidR="005148BB" w:rsidRPr="00750092">
        <w:rPr>
          <w:rFonts w:ascii="Times New Roman" w:hAnsi="Times New Roman" w:cs="Times New Roman"/>
          <w:sz w:val="28"/>
          <w:szCs w:val="28"/>
        </w:rPr>
        <w:t>ых</w:t>
      </w:r>
      <w:r w:rsidRPr="00750092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5148BB" w:rsidRPr="00750092">
        <w:rPr>
          <w:rFonts w:ascii="Times New Roman" w:hAnsi="Times New Roman" w:cs="Times New Roman"/>
          <w:sz w:val="28"/>
          <w:szCs w:val="28"/>
        </w:rPr>
        <w:t>й</w:t>
      </w:r>
      <w:r w:rsidRPr="00313A7E">
        <w:rPr>
          <w:rFonts w:ascii="Times New Roman" w:hAnsi="Times New Roman" w:cs="Times New Roman"/>
          <w:sz w:val="28"/>
          <w:szCs w:val="28"/>
        </w:rPr>
        <w:t xml:space="preserve"> </w:t>
      </w:r>
      <w:r w:rsidR="005148BB" w:rsidRPr="00313A7E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Pr="00313A7E">
        <w:rPr>
          <w:rFonts w:ascii="Times New Roman" w:hAnsi="Times New Roman" w:cs="Times New Roman"/>
          <w:sz w:val="28"/>
          <w:szCs w:val="28"/>
        </w:rPr>
        <w:t>приведена на рисунке 3.</w:t>
      </w:r>
      <w:bookmarkStart w:id="0" w:name="_GoBack"/>
      <w:bookmarkEnd w:id="0"/>
    </w:p>
    <w:p w:rsidR="00ED4DF3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DA58C7" wp14:editId="068CACD4">
            <wp:extent cx="5420563" cy="4162349"/>
            <wp:effectExtent l="0" t="0" r="2794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67680" w:rsidRDefault="00867680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Pr="00FD38F3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B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 и группу административных правонарушений против порядка управления. К числу первых </w:t>
      </w:r>
      <w:r w:rsidRPr="00FD38F3">
        <w:rPr>
          <w:rFonts w:ascii="Times New Roman" w:hAnsi="Times New Roman" w:cs="Times New Roman"/>
          <w:sz w:val="28"/>
          <w:szCs w:val="28"/>
        </w:rPr>
        <w:t xml:space="preserve">следует отнести следующие составы: </w:t>
      </w:r>
    </w:p>
    <w:p w:rsidR="00867680" w:rsidRPr="00BC5CC6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3">
        <w:rPr>
          <w:rFonts w:ascii="Times New Roman" w:hAnsi="Times New Roman" w:cs="Times New Roman"/>
          <w:sz w:val="28"/>
          <w:szCs w:val="28"/>
        </w:rPr>
        <w:t>- </w:t>
      </w:r>
      <w:r w:rsidRPr="00BC5CC6">
        <w:rPr>
          <w:rFonts w:ascii="Times New Roman" w:hAnsi="Times New Roman" w:cs="Times New Roman"/>
          <w:sz w:val="28"/>
          <w:szCs w:val="28"/>
        </w:rPr>
        <w:t>стать</w:t>
      </w:r>
      <w:r w:rsidR="00F83BE7" w:rsidRPr="00BC5CC6">
        <w:rPr>
          <w:rFonts w:ascii="Times New Roman" w:hAnsi="Times New Roman" w:cs="Times New Roman"/>
          <w:sz w:val="28"/>
          <w:szCs w:val="28"/>
        </w:rPr>
        <w:t>я</w:t>
      </w:r>
      <w:r w:rsidRPr="00BC5CC6">
        <w:rPr>
          <w:rFonts w:ascii="Times New Roman" w:hAnsi="Times New Roman" w:cs="Times New Roman"/>
          <w:sz w:val="28"/>
          <w:szCs w:val="28"/>
        </w:rPr>
        <w:t xml:space="preserve"> 9.4 КоАП РФ - </w:t>
      </w:r>
      <w:r w:rsidR="00FD38F3" w:rsidRPr="00BC5CC6">
        <w:rPr>
          <w:rFonts w:ascii="Times New Roman" w:hAnsi="Times New Roman" w:cs="Times New Roman"/>
          <w:sz w:val="28"/>
          <w:szCs w:val="28"/>
        </w:rPr>
        <w:t>нарушение обязательных требований в области строительства и применения строительных материалов (изделий)</w:t>
      </w:r>
      <w:r w:rsidRPr="00BC5CC6">
        <w:rPr>
          <w:rFonts w:ascii="Times New Roman" w:hAnsi="Times New Roman" w:cs="Times New Roman"/>
          <w:sz w:val="28"/>
          <w:szCs w:val="28"/>
        </w:rPr>
        <w:t>;</w:t>
      </w:r>
    </w:p>
    <w:p w:rsidR="00867680" w:rsidRPr="00ED4DF3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5CC6">
        <w:rPr>
          <w:rFonts w:ascii="Times New Roman" w:hAnsi="Times New Roman" w:cs="Times New Roman"/>
          <w:sz w:val="28"/>
          <w:szCs w:val="28"/>
        </w:rPr>
        <w:t>- стать</w:t>
      </w:r>
      <w:r w:rsidR="00F83BE7" w:rsidRPr="00BC5CC6">
        <w:rPr>
          <w:rFonts w:ascii="Times New Roman" w:hAnsi="Times New Roman" w:cs="Times New Roman"/>
          <w:sz w:val="28"/>
          <w:szCs w:val="28"/>
        </w:rPr>
        <w:t>я</w:t>
      </w:r>
      <w:r w:rsidRPr="00BC5CC6">
        <w:rPr>
          <w:rFonts w:ascii="Times New Roman" w:hAnsi="Times New Roman" w:cs="Times New Roman"/>
          <w:sz w:val="28"/>
          <w:szCs w:val="28"/>
        </w:rPr>
        <w:t xml:space="preserve"> 9.</w:t>
      </w:r>
      <w:r w:rsidRPr="00FD38F3">
        <w:rPr>
          <w:rFonts w:ascii="Times New Roman" w:hAnsi="Times New Roman" w:cs="Times New Roman"/>
          <w:sz w:val="28"/>
          <w:szCs w:val="28"/>
        </w:rPr>
        <w:t xml:space="preserve">5 КоАП РФ - </w:t>
      </w:r>
      <w:r w:rsidR="00FD38F3" w:rsidRPr="00FD38F3">
        <w:rPr>
          <w:rFonts w:ascii="Times New Roman" w:hAnsi="Times New Roman" w:cs="Times New Roman"/>
          <w:sz w:val="28"/>
          <w:szCs w:val="28"/>
        </w:rPr>
        <w:t xml:space="preserve">нарушение установленного порядка строительства, реконструкции, </w:t>
      </w:r>
      <w:r w:rsidR="00FD38F3" w:rsidRPr="002321A4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FD38F3" w:rsidRPr="00FD38F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ввода его в эксплуатацию</w:t>
      </w:r>
      <w:r w:rsidRPr="00FD38F3">
        <w:rPr>
          <w:rFonts w:ascii="Times New Roman" w:hAnsi="Times New Roman" w:cs="Times New Roman"/>
          <w:sz w:val="28"/>
          <w:szCs w:val="28"/>
        </w:rPr>
        <w:t xml:space="preserve">. Эти нормы непосредственно касаются предмета надзорной деятельности инспекции. </w:t>
      </w:r>
    </w:p>
    <w:p w:rsidR="00867680" w:rsidRPr="00FD38F3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F3"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относятся следующие составы:</w:t>
      </w:r>
    </w:p>
    <w:p w:rsidR="00867680" w:rsidRPr="00BC5CC6" w:rsidRDefault="00E567E5" w:rsidP="00BC5CC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C5CC6">
        <w:rPr>
          <w:rFonts w:ascii="Times New Roman" w:hAnsi="Times New Roman" w:cs="Times New Roman"/>
          <w:sz w:val="28"/>
          <w:szCs w:val="28"/>
        </w:rPr>
        <w:t xml:space="preserve">Часть 6 статьи </w:t>
      </w:r>
      <w:r w:rsidR="00867680" w:rsidRPr="00BC5CC6">
        <w:rPr>
          <w:rFonts w:ascii="Times New Roman" w:hAnsi="Times New Roman" w:cs="Times New Roman"/>
          <w:sz w:val="28"/>
          <w:szCs w:val="28"/>
        </w:rPr>
        <w:t>19</w:t>
      </w:r>
      <w:r w:rsidR="00867680" w:rsidRPr="00E567E5">
        <w:rPr>
          <w:rFonts w:ascii="Times New Roman" w:hAnsi="Times New Roman" w:cs="Times New Roman"/>
          <w:sz w:val="28"/>
          <w:szCs w:val="28"/>
        </w:rPr>
        <w:t>.5 КоАП РФ</w:t>
      </w:r>
      <w:r w:rsidR="00867680" w:rsidRPr="00FD38F3">
        <w:rPr>
          <w:rFonts w:ascii="Times New Roman" w:hAnsi="Times New Roman" w:cs="Times New Roman"/>
          <w:sz w:val="28"/>
          <w:szCs w:val="28"/>
        </w:rPr>
        <w:t xml:space="preserve"> –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Федерации;</w:t>
      </w:r>
    </w:p>
    <w:p w:rsidR="00867680" w:rsidRPr="00E567E5" w:rsidRDefault="00F83BE7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5CC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67680" w:rsidRPr="00BC5CC6">
        <w:rPr>
          <w:rFonts w:ascii="Times New Roman" w:hAnsi="Times New Roman" w:cs="Times New Roman"/>
          <w:sz w:val="28"/>
          <w:szCs w:val="28"/>
        </w:rPr>
        <w:t>1</w:t>
      </w:r>
      <w:r w:rsidR="00867680" w:rsidRPr="00FD38F3">
        <w:rPr>
          <w:rFonts w:ascii="Times New Roman" w:hAnsi="Times New Roman" w:cs="Times New Roman"/>
          <w:sz w:val="28"/>
          <w:szCs w:val="28"/>
        </w:rPr>
        <w:t>9.7 КоАП РФ – несвоевременное представление в государственный орган, осуществляющий государственный надзор, сведений (информации), представление которых предусмотрено законом и необходимо для осуществления этим органом его законной деятельности, либо представление в государственный орган, осуществляющий, государственный надзор, таких сведений (информации) в неполном объеме или в искаженном виде.</w:t>
      </w:r>
      <w:r w:rsidR="00755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BF" w:rsidRDefault="00867680" w:rsidP="00F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количестве вынесенных инспекцией, а так же судами Новосибирской области </w:t>
      </w:r>
      <w:r w:rsidR="00034F09" w:rsidRPr="000C50CB">
        <w:rPr>
          <w:rFonts w:ascii="Times New Roman" w:hAnsi="Times New Roman" w:cs="Times New Roman"/>
          <w:sz w:val="28"/>
          <w:szCs w:val="28"/>
        </w:rPr>
        <w:t xml:space="preserve">постановлений/решений </w:t>
      </w:r>
      <w:r w:rsidRPr="000C50CB">
        <w:rPr>
          <w:rFonts w:ascii="Times New Roman" w:hAnsi="Times New Roman" w:cs="Times New Roman"/>
          <w:sz w:val="28"/>
          <w:szCs w:val="28"/>
        </w:rPr>
        <w:t>на основании поступивших материалов дел об административных правонарушениях в сфере строительства, представлены в таблице № 4.</w:t>
      </w:r>
    </w:p>
    <w:p w:rsidR="00ED4DF3" w:rsidRDefault="00ED4DF3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W w:w="993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835"/>
        <w:gridCol w:w="4110"/>
      </w:tblGrid>
      <w:tr w:rsidR="00ED4DF3" w:rsidRPr="00ED4DF3" w:rsidTr="00ED4DF3">
        <w:trPr>
          <w:trHeight w:val="1875"/>
        </w:trPr>
        <w:tc>
          <w:tcPr>
            <w:tcW w:w="2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постановлений/решений, вынесенных</w:t>
            </w:r>
          </w:p>
          <w:p w:rsidR="00ED4DF3" w:rsidRPr="0087075F" w:rsidRDefault="006B5736" w:rsidP="00870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 состоянию на 01.10</w:t>
            </w:r>
            <w:r w:rsidR="00ED4DF3" w:rsidRPr="0087075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.2022 </w:t>
            </w:r>
          </w:p>
        </w:tc>
      </w:tr>
      <w:tr w:rsidR="00ED4DF3" w:rsidRPr="00ED4DF3" w:rsidTr="00ED4DF3">
        <w:trPr>
          <w:trHeight w:val="6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инспекцией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судами Новосибирской области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5E0C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E0C" w:rsidRPr="0087075F" w:rsidRDefault="00885E0C" w:rsidP="00885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5E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885E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статьи 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0C" w:rsidRDefault="00885E0C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0C" w:rsidRPr="0087075F" w:rsidRDefault="00885E0C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7075F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75F" w:rsidRPr="0087075F" w:rsidRDefault="0087075F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4 статьи 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75F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75F" w:rsidRPr="0087075F" w:rsidRDefault="0087075F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87075F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5E0C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E0C" w:rsidRPr="0087075F" w:rsidRDefault="00885E0C" w:rsidP="00885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5E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 статьи 9.16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0C" w:rsidRPr="0087075F" w:rsidRDefault="00885E0C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0C" w:rsidRPr="0087075F" w:rsidRDefault="00885E0C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5E0C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E0C" w:rsidRPr="0087075F" w:rsidRDefault="00885E0C" w:rsidP="00885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5E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885E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статьи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19.4.1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0C" w:rsidRPr="0087075F" w:rsidRDefault="00B712D4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E0C" w:rsidRPr="0087075F" w:rsidRDefault="00B712D4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19.4.1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87075F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6 статьи 19.5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статья 19.7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ED4DF3" w:rsidRPr="00ED4DF3" w:rsidTr="00ED4DF3">
        <w:trPr>
          <w:trHeight w:val="31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4DF3" w:rsidRPr="0087075F" w:rsidRDefault="00ED4DF3" w:rsidP="00ED4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ED4DF3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75F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DF3" w:rsidRPr="0087075F" w:rsidRDefault="0077590B" w:rsidP="00ED4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</w:p>
        </w:tc>
      </w:tr>
    </w:tbl>
    <w:p w:rsidR="00ED4DF3" w:rsidRPr="002802B2" w:rsidRDefault="00ED4DF3" w:rsidP="002802B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867680" w:rsidRPr="000C50CB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53">
        <w:rPr>
          <w:rFonts w:ascii="Times New Roman" w:hAnsi="Times New Roman" w:cs="Times New Roman"/>
          <w:sz w:val="28"/>
          <w:szCs w:val="28"/>
        </w:rPr>
        <w:t xml:space="preserve">Анализ правонарушений за </w:t>
      </w:r>
      <w:r w:rsidR="006B5736">
        <w:rPr>
          <w:rFonts w:ascii="Times New Roman" w:hAnsi="Times New Roman" w:cs="Times New Roman"/>
          <w:sz w:val="28"/>
          <w:szCs w:val="28"/>
        </w:rPr>
        <w:t>9 месяцев</w:t>
      </w:r>
      <w:r w:rsidR="00FD38F3" w:rsidRPr="00B07F53">
        <w:rPr>
          <w:rFonts w:ascii="Times New Roman" w:hAnsi="Times New Roman" w:cs="Times New Roman"/>
          <w:sz w:val="28"/>
          <w:szCs w:val="28"/>
        </w:rPr>
        <w:t xml:space="preserve"> </w:t>
      </w:r>
      <w:r w:rsidRPr="00B07F53">
        <w:rPr>
          <w:rFonts w:ascii="Times New Roman" w:hAnsi="Times New Roman" w:cs="Times New Roman"/>
          <w:sz w:val="28"/>
          <w:szCs w:val="28"/>
        </w:rPr>
        <w:t>202</w:t>
      </w:r>
      <w:r w:rsidR="00FD38F3" w:rsidRPr="00B07F53">
        <w:rPr>
          <w:rFonts w:ascii="Times New Roman" w:hAnsi="Times New Roman" w:cs="Times New Roman"/>
          <w:sz w:val="28"/>
          <w:szCs w:val="28"/>
        </w:rPr>
        <w:t>2</w:t>
      </w:r>
      <w:r w:rsidR="00034F09" w:rsidRPr="00B07F53">
        <w:rPr>
          <w:rFonts w:ascii="Times New Roman" w:hAnsi="Times New Roman" w:cs="Times New Roman"/>
          <w:sz w:val="28"/>
          <w:szCs w:val="28"/>
        </w:rPr>
        <w:t xml:space="preserve"> </w:t>
      </w:r>
      <w:r w:rsidRPr="00B07F53">
        <w:rPr>
          <w:rFonts w:ascii="Times New Roman" w:hAnsi="Times New Roman" w:cs="Times New Roman"/>
          <w:sz w:val="28"/>
          <w:szCs w:val="28"/>
        </w:rPr>
        <w:t>год</w:t>
      </w:r>
      <w:r w:rsidR="00FD38F3" w:rsidRPr="00B07F53">
        <w:rPr>
          <w:rFonts w:ascii="Times New Roman" w:hAnsi="Times New Roman" w:cs="Times New Roman"/>
          <w:sz w:val="28"/>
          <w:szCs w:val="28"/>
        </w:rPr>
        <w:t>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показывает, что основной причиной отрицательно влияющей на качество и безопасность строительства, реконструкции объектов капитального строительства является систематически повторяющиеся нарушения тр</w:t>
      </w:r>
      <w:r w:rsidR="00034F09" w:rsidRPr="00B07F53">
        <w:rPr>
          <w:rFonts w:ascii="Times New Roman" w:hAnsi="Times New Roman" w:cs="Times New Roman"/>
          <w:sz w:val="28"/>
          <w:szCs w:val="28"/>
        </w:rPr>
        <w:t>е</w:t>
      </w:r>
      <w:r w:rsidR="00CB10E0" w:rsidRPr="00B07F53">
        <w:rPr>
          <w:rFonts w:ascii="Times New Roman" w:hAnsi="Times New Roman" w:cs="Times New Roman"/>
          <w:sz w:val="28"/>
          <w:szCs w:val="28"/>
        </w:rPr>
        <w:t>бований проектной документации.</w:t>
      </w:r>
    </w:p>
    <w:p w:rsidR="00035379" w:rsidRPr="00470438" w:rsidRDefault="00035379" w:rsidP="000C5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867680" w:rsidRPr="000C50CB" w:rsidRDefault="00867680" w:rsidP="008676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867680" w:rsidRPr="000C50CB" w:rsidRDefault="00867680" w:rsidP="00867680">
      <w:pPr>
        <w:spacing w:after="0" w:line="240" w:lineRule="auto"/>
      </w:pPr>
    </w:p>
    <w:p w:rsidR="00E72B60" w:rsidRDefault="006B5736" w:rsidP="0022273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7550BF">
        <w:rPr>
          <w:rFonts w:ascii="Times New Roman" w:hAnsi="Times New Roman" w:cs="Times New Roman"/>
          <w:sz w:val="28"/>
          <w:szCs w:val="28"/>
        </w:rPr>
        <w:t xml:space="preserve"> 2022</w:t>
      </w:r>
      <w:r w:rsidR="00CC2E26" w:rsidRPr="000C50CB">
        <w:rPr>
          <w:rFonts w:ascii="Times New Roman" w:hAnsi="Times New Roman" w:cs="Times New Roman"/>
          <w:sz w:val="28"/>
          <w:szCs w:val="28"/>
        </w:rPr>
        <w:t xml:space="preserve"> год</w:t>
      </w:r>
      <w:r w:rsidR="007550BF">
        <w:rPr>
          <w:rFonts w:ascii="Times New Roman" w:hAnsi="Times New Roman" w:cs="Times New Roman"/>
          <w:sz w:val="28"/>
          <w:szCs w:val="28"/>
        </w:rPr>
        <w:t>а</w:t>
      </w:r>
      <w:r w:rsidR="00B07F53">
        <w:rPr>
          <w:rFonts w:ascii="Times New Roman" w:hAnsi="Times New Roman" w:cs="Times New Roman"/>
          <w:sz w:val="28"/>
          <w:szCs w:val="28"/>
        </w:rPr>
        <w:t xml:space="preserve"> </w:t>
      </w:r>
      <w:r w:rsidR="00A97710">
        <w:rPr>
          <w:rFonts w:ascii="Times New Roman" w:hAnsi="Times New Roman" w:cs="Times New Roman"/>
          <w:sz w:val="28"/>
          <w:szCs w:val="28"/>
        </w:rPr>
        <w:t>и</w:t>
      </w:r>
      <w:r w:rsidR="00960119" w:rsidRPr="000C50CB">
        <w:rPr>
          <w:rFonts w:ascii="Times New Roman" w:hAnsi="Times New Roman" w:cs="Times New Roman"/>
          <w:sz w:val="28"/>
          <w:szCs w:val="28"/>
        </w:rPr>
        <w:t>нспекцией реализован</w:t>
      </w:r>
      <w:r w:rsidR="00F613D4" w:rsidRPr="000C50CB">
        <w:rPr>
          <w:rFonts w:ascii="Times New Roman" w:hAnsi="Times New Roman" w:cs="Times New Roman"/>
          <w:sz w:val="28"/>
          <w:szCs w:val="28"/>
        </w:rPr>
        <w:t>ы</w:t>
      </w:r>
      <w:r w:rsidR="00960119" w:rsidRPr="000C50CB">
        <w:rPr>
          <w:rFonts w:ascii="Times New Roman" w:hAnsi="Times New Roman" w:cs="Times New Roman"/>
          <w:sz w:val="28"/>
          <w:szCs w:val="28"/>
        </w:rPr>
        <w:t xml:space="preserve"> </w:t>
      </w:r>
      <w:r w:rsidR="007D568C" w:rsidRPr="000C50C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D4F6A">
        <w:rPr>
          <w:rFonts w:ascii="Times New Roman" w:hAnsi="Times New Roman" w:cs="Times New Roman"/>
          <w:sz w:val="28"/>
          <w:szCs w:val="28"/>
        </w:rPr>
        <w:t>программы</w:t>
      </w:r>
      <w:r w:rsidR="008D4F6A" w:rsidRPr="008D4F6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инспекцией регионального государственного строительного надзора на территории Новосибирской област</w:t>
      </w:r>
      <w:r w:rsidR="008D4F6A" w:rsidRPr="00A97710">
        <w:rPr>
          <w:rFonts w:ascii="Times New Roman" w:hAnsi="Times New Roman" w:cs="Times New Roman"/>
          <w:sz w:val="28"/>
          <w:szCs w:val="28"/>
        </w:rPr>
        <w:t>и на 2022 год (</w:t>
      </w:r>
      <w:proofErr w:type="gramStart"/>
      <w:r w:rsidR="008D4F6A" w:rsidRPr="00A9771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D4F6A" w:rsidRPr="00A97710">
        <w:rPr>
          <w:rFonts w:ascii="Times New Roman" w:hAnsi="Times New Roman" w:cs="Times New Roman"/>
          <w:sz w:val="28"/>
          <w:szCs w:val="28"/>
        </w:rPr>
        <w:t xml:space="preserve"> приказом инспекции от 14.12.2021 № 90).</w:t>
      </w:r>
      <w:r w:rsidR="008D4F6A" w:rsidRPr="008D4F6A">
        <w:t xml:space="preserve"> </w:t>
      </w:r>
    </w:p>
    <w:p w:rsidR="008D4F6A" w:rsidRDefault="008D4F6A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6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proofErr w:type="gramStart"/>
      <w:r w:rsidRPr="008D4F6A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8D4F6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инспекцией государственного строительного надзора </w:t>
      </w:r>
      <w:r w:rsidRPr="008D4F6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регионального государственного строительного надзора на территории Новосибирской области на 2022 год</w:t>
      </w:r>
      <w:r w:rsidRPr="008D4F6A"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приведен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19" w:rsidRPr="000C50CB" w:rsidRDefault="00960119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960119" w:rsidRPr="000C50CB" w:rsidRDefault="00E567E5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 </w:t>
      </w:r>
      <w:r w:rsidR="00960119" w:rsidRPr="000C50CB">
        <w:rPr>
          <w:rFonts w:ascii="Times New Roman" w:eastAsia="Times New Roman" w:hAnsi="Times New Roman"/>
          <w:sz w:val="28"/>
          <w:szCs w:val="28"/>
          <w:lang w:eastAsia="ru-RU"/>
        </w:rPr>
        <w:t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8129B8" w:rsidRPr="000C50CB" w:rsidRDefault="008129B8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0618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в сети «Интернет» по адресу: </w:t>
      </w:r>
      <w:hyperlink r:id="rId26" w:history="1">
        <w:r w:rsidRPr="000C50C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http://gsn.nso.ru/page/328</w:t>
        </w:r>
      </w:hyperlink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165323"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действует подписка пользователей официального сайта на рассылку электронных сообщений с информацией связанной с профилактикой </w:t>
      </w:r>
      <w:r w:rsidR="00E72B60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иной информации важной для </w:t>
      </w:r>
      <w:r w:rsidR="00BC5CC6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73CF" w:rsidRPr="000C50CB" w:rsidRDefault="00960119" w:rsidP="004B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0CB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061861">
        <w:rPr>
          <w:rFonts w:ascii="Times New Roman" w:hAnsi="Times New Roman"/>
          <w:sz w:val="28"/>
          <w:szCs w:val="28"/>
        </w:rPr>
        <w:t>и</w:t>
      </w:r>
      <w:r w:rsidRPr="000C50CB">
        <w:rPr>
          <w:rFonts w:ascii="Times New Roman" w:hAnsi="Times New Roman"/>
          <w:sz w:val="28"/>
          <w:szCs w:val="28"/>
        </w:rPr>
        <w:t xml:space="preserve">нспекция стремится к сбалансированному сочетанию надзорных мероприятий с профилактическими. </w:t>
      </w:r>
    </w:p>
    <w:p w:rsidR="005173CF" w:rsidRPr="00E72B60" w:rsidRDefault="005173CF" w:rsidP="00E72B6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0C50CB">
        <w:rPr>
          <w:rFonts w:eastAsia="Calibri"/>
          <w:sz w:val="28"/>
          <w:szCs w:val="28"/>
          <w:lang w:eastAsia="en-US"/>
        </w:rPr>
        <w:t xml:space="preserve">В </w:t>
      </w:r>
      <w:r w:rsidRPr="003E4579">
        <w:rPr>
          <w:rFonts w:eastAsia="Calibri"/>
          <w:sz w:val="28"/>
          <w:szCs w:val="28"/>
          <w:lang w:eastAsia="en-US"/>
        </w:rPr>
        <w:t xml:space="preserve">результате реализации программы профилактики </w:t>
      </w:r>
      <w:r w:rsidR="00222733" w:rsidRPr="003E4579">
        <w:rPr>
          <w:rFonts w:eastAsia="Calibri"/>
          <w:sz w:val="28"/>
          <w:szCs w:val="28"/>
          <w:lang w:eastAsia="en-US"/>
        </w:rPr>
        <w:t xml:space="preserve">произошло </w:t>
      </w:r>
      <w:r w:rsidRPr="003E4579">
        <w:rPr>
          <w:rFonts w:eastAsia="Calibri"/>
          <w:sz w:val="28"/>
          <w:szCs w:val="28"/>
          <w:lang w:eastAsia="en-US"/>
        </w:rPr>
        <w:t xml:space="preserve">повышение уровня информированности, правовой грамотности </w:t>
      </w:r>
      <w:r w:rsidR="00581890" w:rsidRPr="003E4579">
        <w:rPr>
          <w:rFonts w:eastAsia="Calibri"/>
          <w:sz w:val="28"/>
          <w:szCs w:val="28"/>
          <w:lang w:eastAsia="en-US"/>
        </w:rPr>
        <w:t xml:space="preserve">контролируемых лиц </w:t>
      </w:r>
      <w:r w:rsidRPr="003E4579">
        <w:rPr>
          <w:rFonts w:eastAsia="Calibri"/>
          <w:sz w:val="28"/>
          <w:szCs w:val="28"/>
          <w:lang w:eastAsia="en-US"/>
        </w:rPr>
        <w:t>по вопросам соблюдения обязательных требований, что позволи</w:t>
      </w:r>
      <w:r w:rsidR="00222733" w:rsidRPr="003E4579">
        <w:rPr>
          <w:rFonts w:eastAsia="Calibri"/>
          <w:sz w:val="28"/>
          <w:szCs w:val="28"/>
          <w:lang w:eastAsia="en-US"/>
        </w:rPr>
        <w:t>ло</w:t>
      </w:r>
      <w:r w:rsidRPr="003E4579">
        <w:rPr>
          <w:rFonts w:eastAsia="Calibri"/>
          <w:sz w:val="28"/>
          <w:szCs w:val="28"/>
          <w:lang w:eastAsia="en-US"/>
        </w:rPr>
        <w:t xml:space="preserve"> региональному государственному строительному надзору стать более о</w:t>
      </w:r>
      <w:r w:rsidRPr="003E4579">
        <w:rPr>
          <w:sz w:val="28"/>
          <w:szCs w:val="28"/>
        </w:rPr>
        <w:t xml:space="preserve">ткрытым для взаимодействия с </w:t>
      </w:r>
      <w:r w:rsidR="00581890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 xml:space="preserve">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</w:t>
      </w:r>
      <w:r w:rsidR="003E4579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>обязательных требований и отвечать</w:t>
      </w:r>
      <w:proofErr w:type="gramEnd"/>
      <w:r w:rsidRPr="003E4579">
        <w:rPr>
          <w:sz w:val="28"/>
          <w:szCs w:val="28"/>
        </w:rPr>
        <w:t xml:space="preserve"> потребностям предпринимательской среды в получении качественной и</w:t>
      </w:r>
      <w:r w:rsidR="0010125F" w:rsidRPr="003E4579">
        <w:rPr>
          <w:sz w:val="28"/>
          <w:szCs w:val="28"/>
        </w:rPr>
        <w:t xml:space="preserve"> </w:t>
      </w:r>
      <w:r w:rsidRPr="003E4579">
        <w:rPr>
          <w:sz w:val="28"/>
          <w:szCs w:val="28"/>
        </w:rPr>
        <w:t>доступной информации по возникающим вопросам соблюдения обязательных требований.</w:t>
      </w:r>
    </w:p>
    <w:p w:rsidR="00222733" w:rsidRPr="008C2260" w:rsidRDefault="004B22CE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C50CB">
        <w:rPr>
          <w:sz w:val="28"/>
          <w:szCs w:val="28"/>
        </w:rPr>
        <w:t xml:space="preserve">С учетом вышеизложенного, </w:t>
      </w:r>
      <w:r w:rsidR="00442ED3" w:rsidRPr="000C50CB">
        <w:rPr>
          <w:sz w:val="28"/>
          <w:szCs w:val="28"/>
        </w:rPr>
        <w:t xml:space="preserve">в </w:t>
      </w:r>
      <w:r w:rsidR="004877AA">
        <w:rPr>
          <w:sz w:val="28"/>
          <w:szCs w:val="28"/>
          <w:lang w:val="en-US"/>
        </w:rPr>
        <w:t>III</w:t>
      </w:r>
      <w:r w:rsidR="004877AA">
        <w:rPr>
          <w:sz w:val="28"/>
          <w:szCs w:val="28"/>
        </w:rPr>
        <w:t xml:space="preserve"> квартале</w:t>
      </w:r>
      <w:r w:rsidR="00E72B60">
        <w:rPr>
          <w:sz w:val="28"/>
          <w:szCs w:val="28"/>
        </w:rPr>
        <w:t xml:space="preserve"> </w:t>
      </w:r>
      <w:r w:rsidR="00442ED3" w:rsidRPr="000C50CB">
        <w:rPr>
          <w:sz w:val="28"/>
          <w:szCs w:val="28"/>
        </w:rPr>
        <w:t>202</w:t>
      </w:r>
      <w:r w:rsidR="00E72B60">
        <w:rPr>
          <w:sz w:val="28"/>
          <w:szCs w:val="28"/>
        </w:rPr>
        <w:t>2</w:t>
      </w:r>
      <w:r w:rsidR="00442ED3" w:rsidRPr="000C50CB">
        <w:rPr>
          <w:sz w:val="28"/>
          <w:szCs w:val="28"/>
        </w:rPr>
        <w:t xml:space="preserve"> год</w:t>
      </w:r>
      <w:r w:rsidR="00E72B60">
        <w:rPr>
          <w:sz w:val="28"/>
          <w:szCs w:val="28"/>
        </w:rPr>
        <w:t>а</w:t>
      </w:r>
      <w:r w:rsidR="00442ED3" w:rsidRPr="000C50CB">
        <w:rPr>
          <w:sz w:val="28"/>
          <w:szCs w:val="28"/>
        </w:rPr>
        <w:t xml:space="preserve"> </w:t>
      </w:r>
      <w:r w:rsidRPr="000C50CB">
        <w:rPr>
          <w:sz w:val="28"/>
          <w:szCs w:val="28"/>
        </w:rPr>
        <w:t>программ</w:t>
      </w:r>
      <w:r w:rsidR="009F22AC" w:rsidRPr="000C50CB">
        <w:rPr>
          <w:sz w:val="28"/>
          <w:szCs w:val="28"/>
        </w:rPr>
        <w:t>ой</w:t>
      </w:r>
      <w:r w:rsidRPr="000C50CB">
        <w:rPr>
          <w:sz w:val="28"/>
          <w:szCs w:val="28"/>
        </w:rPr>
        <w:t xml:space="preserve"> профилактики </w:t>
      </w:r>
      <w:r w:rsidR="009F22AC" w:rsidRPr="000C50CB">
        <w:rPr>
          <w:sz w:val="28"/>
          <w:szCs w:val="28"/>
        </w:rPr>
        <w:t xml:space="preserve">обеспечена </w:t>
      </w:r>
      <w:r w:rsidRPr="000C50CB">
        <w:rPr>
          <w:sz w:val="28"/>
          <w:szCs w:val="28"/>
        </w:rPr>
        <w:t>эффективность профилактической работы инспекции.</w:t>
      </w: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222733">
      <w:pPr>
        <w:jc w:val="center"/>
        <w:rPr>
          <w:b/>
          <w:sz w:val="28"/>
          <w:szCs w:val="28"/>
        </w:rPr>
        <w:sectPr w:rsidR="00222733" w:rsidSect="000B2292">
          <w:headerReference w:type="default" r:id="rId2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7235" w:rsidRPr="00CF7235" w:rsidRDefault="00CF7235" w:rsidP="00CF7235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CF7235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CF7235" w:rsidRPr="003E4579" w:rsidRDefault="003E4579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E4579">
        <w:rPr>
          <w:rFonts w:ascii="Times New Roman" w:hAnsi="Times New Roman" w:cs="Times New Roman"/>
          <w:b/>
          <w:color w:val="000000"/>
          <w:sz w:val="24"/>
          <w:szCs w:val="28"/>
        </w:rPr>
        <w:t>Исполнение</w:t>
      </w:r>
      <w:r w:rsidR="00CF7235" w:rsidRPr="003E457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</w:t>
      </w:r>
    </w:p>
    <w:p w:rsidR="00CF7235" w:rsidRPr="002321A4" w:rsidRDefault="00CF7235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E457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 2022 </w:t>
      </w:r>
      <w:r w:rsidRPr="003E4579">
        <w:rPr>
          <w:rFonts w:ascii="Times New Roman" w:hAnsi="Times New Roman" w:cs="Times New Roman"/>
          <w:b/>
          <w:sz w:val="24"/>
          <w:szCs w:val="28"/>
        </w:rPr>
        <w:t>год</w:t>
      </w:r>
      <w:r w:rsidR="002321A4" w:rsidRPr="003E457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21A4" w:rsidRPr="00B07F53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4877AA">
        <w:rPr>
          <w:rFonts w:ascii="Times New Roman" w:hAnsi="Times New Roman" w:cs="Times New Roman"/>
          <w:b/>
          <w:sz w:val="24"/>
          <w:szCs w:val="28"/>
        </w:rPr>
        <w:t>9 месяцев</w:t>
      </w:r>
      <w:r w:rsidR="002321A4" w:rsidRPr="003E4579">
        <w:rPr>
          <w:rFonts w:ascii="Times New Roman" w:hAnsi="Times New Roman" w:cs="Times New Roman"/>
          <w:b/>
          <w:sz w:val="24"/>
          <w:szCs w:val="28"/>
        </w:rPr>
        <w:t xml:space="preserve"> 2022 года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 w:rsidR="003E4579" w:rsidRPr="00CF7235" w:rsidTr="003E4579"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F72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F72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Форма профилактических мероприятий</w:t>
            </w:r>
          </w:p>
        </w:tc>
        <w:tc>
          <w:tcPr>
            <w:tcW w:w="392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Периодичность проведения, сроки исполнения</w:t>
            </w:r>
          </w:p>
        </w:tc>
        <w:tc>
          <w:tcPr>
            <w:tcW w:w="6378" w:type="dxa"/>
            <w:gridSpan w:val="2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Результаты выполнения</w:t>
            </w:r>
          </w:p>
        </w:tc>
      </w:tr>
      <w:tr w:rsidR="00CF7235" w:rsidRPr="00CF7235" w:rsidTr="004402C1">
        <w:trPr>
          <w:trHeight w:val="489"/>
        </w:trPr>
        <w:tc>
          <w:tcPr>
            <w:tcW w:w="703" w:type="dxa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4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силу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соответствующих сведений на официальном сайте инспекции в сети «Интернет» – в течение 10 рабочих дней со дня принятия в установленном порядке соответствующих изменений или принятия новых нормативных правовых актов.</w:t>
            </w:r>
          </w:p>
        </w:tc>
        <w:tc>
          <w:tcPr>
            <w:tcW w:w="6359" w:type="dxa"/>
          </w:tcPr>
          <w:p w:rsidR="00373311" w:rsidRDefault="003E4579" w:rsidP="001A1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официальном сайте инспекции в сети «Интернет» по адресу: </w:t>
            </w:r>
            <w:hyperlink r:id="rId28" w:history="1">
              <w:r w:rsidR="00373311"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http://gsn.nso.ru/page/48</w:t>
              </w:r>
            </w:hyperlink>
          </w:p>
          <w:p w:rsidR="003E4579" w:rsidRPr="00CF7235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 доступны для скачивания, поддерживаются в актуальном состоянии.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в течение одного рабочего дня с момента утверждения или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изменений в Перечень нормативных правовых актов.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– не более 10 рабочих дней со дня отмены, изменения нормативных правовых актов, включенных в Перечень нормативных правовых актов, вступления в силу новых нормативных актов или их частей, устанавл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ивающих обязательные требования.</w:t>
            </w:r>
          </w:p>
        </w:tc>
        <w:tc>
          <w:tcPr>
            <w:tcW w:w="6359" w:type="dxa"/>
          </w:tcPr>
          <w:p w:rsidR="003E4579" w:rsidRPr="00787773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приказом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22.03.2022 № 1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размещен на официальном сайте инспекции в сети «Интернет» по адресу: </w:t>
            </w:r>
          </w:p>
          <w:p w:rsidR="003E4579" w:rsidRDefault="000F78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3E4579" w:rsidRPr="00606E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https://gsn.nso.ru/page/550</w:t>
              </w:r>
            </w:hyperlink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097D8B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30" w:history="1">
              <w:r w:rsidRPr="00CF723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</w:t>
            </w:r>
            <w:r w:rsidRPr="00CF7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 в Российской Федерации»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в течение 15 рабочих дней с даты: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вступления в силу нормативного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правового акта, которым вносятся изменения в состав и (или) содержание обязательного требования;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принятия новых нормативных правовых актов</w:t>
            </w:r>
          </w:p>
        </w:tc>
        <w:tc>
          <w:tcPr>
            <w:tcW w:w="6359" w:type="dxa"/>
          </w:tcPr>
          <w:p w:rsidR="003E4579" w:rsidRDefault="003E457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Руководство по соблюдению обязательных требований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инспекции государственного строительног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>от 23.12.2021 № 105), поддержи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вается в актуальном состоянии.</w:t>
            </w:r>
          </w:p>
          <w:p w:rsidR="00F82E80" w:rsidRDefault="000F787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F82E80"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http://gsn.nso.ru/page/329</w:t>
              </w:r>
            </w:hyperlink>
          </w:p>
          <w:p w:rsidR="00F82E80" w:rsidRPr="00CF7235" w:rsidRDefault="00F82E80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дарственный строительный надзор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                 пяти 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Реестр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  <w:r>
              <w:t xml:space="preserve"> 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обновляется на сайте инспекции еженедельно. </w:t>
            </w:r>
          </w:p>
          <w:p w:rsidR="004402C1" w:rsidRDefault="000F7879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https://gsn.nso.ru/page/549</w:t>
              </w:r>
            </w:hyperlink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377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пяти дней с момента утверждения</w:t>
            </w:r>
          </w:p>
        </w:tc>
        <w:tc>
          <w:tcPr>
            <w:tcW w:w="6359" w:type="dxa"/>
          </w:tcPr>
          <w:p w:rsid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счерпывающий перечень сведений, которые могут запрашиваться инспекцией у контролируемого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«Интернет» по адресу</w:t>
            </w:r>
            <w:r w:rsidRPr="004402C1">
              <w:t xml:space="preserve">: </w:t>
            </w:r>
          </w:p>
          <w:p w:rsidR="003E4579" w:rsidRDefault="000F78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http://gsn.nso.ru/page/347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10"/>
                <w:szCs w:val="24"/>
                <w:u w:val="single"/>
              </w:rPr>
            </w:pPr>
          </w:p>
        </w:tc>
      </w:tr>
      <w:tr w:rsidR="003E4579" w:rsidRPr="00CF7235" w:rsidTr="004402C1">
        <w:trPr>
          <w:trHeight w:val="1557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предшествующего года, актуализация – в течение 10 рабочих дней с момента внесения соответствующих изменений</w:t>
            </w:r>
          </w:p>
        </w:tc>
        <w:tc>
          <w:tcPr>
            <w:tcW w:w="6359" w:type="dxa"/>
          </w:tcPr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  <w:r>
              <w:t xml:space="preserve">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  <w:p w:rsidR="003E4579" w:rsidRPr="00CF7235" w:rsidRDefault="000F78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http://gsn.nso.ru/page/341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4402C1">
        <w:trPr>
          <w:trHeight w:val="1525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порядка в течение 15 рабочих дней с момента внесения соответствующих изменений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сайте инспекции: </w:t>
            </w:r>
            <w:hyperlink r:id="rId35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https://gsn.nso.ru/page/534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028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6955FC" w:rsidRPr="006955FC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</w:t>
            </w:r>
            <w:r w:rsidR="003E4579"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>24.03.2022</w:t>
            </w:r>
            <w:r w:rsidR="003E4579"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E4579" w:rsidRPr="002321A4" w:rsidRDefault="000F7879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36" w:history="1">
              <w:r w:rsidR="003E4579" w:rsidRPr="006955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3E4579"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утверждени</w:t>
            </w:r>
            <w:proofErr w:type="gramStart"/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е–</w:t>
            </w:r>
            <w:proofErr w:type="gramEnd"/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позднее 15 марта года, следующего за отчетным</w:t>
            </w:r>
          </w:p>
        </w:tc>
        <w:tc>
          <w:tcPr>
            <w:tcW w:w="6359" w:type="dxa"/>
          </w:tcPr>
          <w:p w:rsidR="003E4579" w:rsidRPr="004402C1" w:rsidRDefault="003E4579" w:rsidP="00440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осуществлении инспекцией регионального государственного строительного надзора 10.03.2022 размещен на сайте Реформа КНД (</w:t>
            </w:r>
            <w:hyperlink r:id="rId37" w:history="1">
              <w:r w:rsidRPr="006955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https://monitoring.ar.gov.ru</w:t>
              </w:r>
            </w:hyperlink>
            <w:r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далее размещен на сайте инспекции </w:t>
            </w:r>
            <w:hyperlink r:id="rId38" w:history="1">
              <w:r w:rsidRPr="006955F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https://gsn.nso.ru/page/342</w:t>
              </w:r>
            </w:hyperlink>
            <w:r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proofErr w:type="gramStart"/>
            <w:r w:rsidRPr="006955F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6955FC" w:rsidRPr="006955FC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24.03.2022. </w:t>
            </w:r>
          </w:p>
          <w:p w:rsidR="00F82E80" w:rsidRDefault="000F7879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39" w:history="1">
              <w:r w:rsidR="0066057B" w:rsidRPr="0066057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</w:p>
          <w:p w:rsidR="0066057B" w:rsidRDefault="0066057B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5FC" w:rsidRPr="006955FC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5FC" w:rsidRPr="006955FC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3E4579" w:rsidRPr="009A6392" w:rsidRDefault="003E4579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2021 год. Все материалы размещены на официальном сайте инспекции по адресу: </w:t>
            </w:r>
            <w:hyperlink r:id="rId40" w:history="1">
              <w:r w:rsidRPr="009A639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https://gsn.nso.ru/page/332</w:t>
              </w:r>
            </w:hyperlink>
          </w:p>
          <w:p w:rsidR="003E4579" w:rsidRPr="009A6392" w:rsidRDefault="003E4579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а) охраняемым законом ценностям.</w:t>
            </w:r>
          </w:p>
        </w:tc>
        <w:tc>
          <w:tcPr>
            <w:tcW w:w="6359" w:type="dxa"/>
          </w:tcPr>
          <w:p w:rsidR="003E4579" w:rsidRPr="00CF7235" w:rsidRDefault="003E4579" w:rsidP="0073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Объявлено </w:t>
            </w:r>
            <w:r w:rsidR="007360A4"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>434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предостережени</w:t>
            </w:r>
            <w:r w:rsidR="00C9635D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</w:t>
            </w:r>
            <w:r w:rsidRPr="006066D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обязательных требований, поводом для которых явилась информация о возможном наличии нарушений требований к организации строительных площадок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4402C1">
        <w:trPr>
          <w:trHeight w:val="991"/>
        </w:trPr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440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трёх месяцев со дня поступления в инспекцию от контролируемого лица извещения о начале</w:t>
            </w:r>
            <w:proofErr w:type="gramEnd"/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реконструкции объекта капитального строительства, направленного в соответствии с </w:t>
            </w:r>
            <w:hyperlink r:id="rId41" w:history="1">
              <w:r w:rsidRPr="00750092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359" w:type="dxa"/>
          </w:tcPr>
          <w:p w:rsidR="003E4579" w:rsidRPr="00750092" w:rsidRDefault="003B790F" w:rsidP="0073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Проведено </w:t>
            </w:r>
            <w:r w:rsidR="007360A4"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профилактических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визитов.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льного (надзорного) мероприятия.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 за консультацией контролируемых лиц</w:t>
            </w:r>
          </w:p>
        </w:tc>
        <w:tc>
          <w:tcPr>
            <w:tcW w:w="6359" w:type="dxa"/>
          </w:tcPr>
          <w:p w:rsidR="003E4579" w:rsidRPr="00750092" w:rsidRDefault="003B790F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F41F41"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консультаций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750092" w:rsidRDefault="003E4579" w:rsidP="00AE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2021 год и плановый период 2022-2023 год на </w:t>
            </w: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доклада до 01.02.2022;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доклада на официальном сайте инспекции в сети «Интернет» до 15.02.2022 </w:t>
            </w:r>
          </w:p>
        </w:tc>
        <w:tc>
          <w:tcPr>
            <w:tcW w:w="6359" w:type="dxa"/>
          </w:tcPr>
          <w:p w:rsidR="00F41F41" w:rsidRDefault="003B790F" w:rsidP="00CA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  <w:r w:rsidR="003E4579"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="003E4579"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E4579"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профилактики нарушений обязательных требований</w:t>
            </w:r>
            <w:proofErr w:type="gramEnd"/>
            <w:r w:rsidR="003E4579"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регионального государственного строительного надзора на 2021 год</w:t>
            </w:r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(утвержден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инспекции </w:t>
            </w:r>
            <w:r w:rsidR="003E4579"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строительног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="003E4579"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от 14.02.2022 №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2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15.02.2022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 на сайте инспекции: </w:t>
            </w:r>
            <w:hyperlink r:id="rId42" w:history="1">
              <w:r w:rsidR="00F41F41" w:rsidRPr="001E11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https://gsn.nso.ru/page/330</w:t>
              </w:r>
            </w:hyperlink>
            <w:r w:rsidR="00F41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F41F41" w:rsidRPr="00CF7235" w:rsidRDefault="00F41F41" w:rsidP="00CA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4DD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D064DD" w:rsidRPr="00750092" w:rsidRDefault="00D064DD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46" w:type="dxa"/>
            <w:shd w:val="clear" w:color="auto" w:fill="auto"/>
          </w:tcPr>
          <w:p w:rsidR="00D064DD" w:rsidRPr="00750092" w:rsidRDefault="00D064DD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D064DD" w:rsidRPr="00750092" w:rsidRDefault="00D064DD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D064DD" w:rsidRPr="00750092" w:rsidRDefault="00D064DD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– не позднее 30.06.2022</w:t>
            </w:r>
            <w:r w:rsidR="00F23586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64DD" w:rsidRPr="00750092" w:rsidRDefault="00D064DD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 – не позднее 31.12.2022</w:t>
            </w:r>
            <w:r w:rsidR="00F23586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9" w:type="dxa"/>
          </w:tcPr>
          <w:p w:rsidR="00D064DD" w:rsidRDefault="00ED1F90" w:rsidP="00ED1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25.05.2022 инспекция</w:t>
            </w:r>
            <w:r w:rsidRPr="00ED1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провела </w:t>
            </w:r>
            <w:r w:rsidR="00D47C53" w:rsidRPr="00D47C53">
              <w:rPr>
                <w:rFonts w:ascii="Times New Roman" w:eastAsia="Calibri" w:hAnsi="Times New Roman" w:cs="Times New Roman"/>
                <w:sz w:val="24"/>
                <w:szCs w:val="24"/>
              </w:rPr>
              <w:t>публичн</w:t>
            </w:r>
            <w:r w:rsidR="00D47C53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="00D47C53" w:rsidRPr="00D4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D47C5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47C53" w:rsidRPr="00D47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</w:t>
            </w:r>
            <w:r w:rsidRPr="00ED1F90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="00D47C5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D1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«Региональный государственный строительный надзор. Особенности осуществления надзора в 2022 году»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2610" w:rsidRDefault="00252610" w:rsidP="00ED1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610">
              <w:rPr>
                <w:rFonts w:ascii="Times New Roman" w:eastAsia="Calibri" w:hAnsi="Times New Roman" w:cs="Times New Roman"/>
                <w:sz w:val="24"/>
                <w:szCs w:val="24"/>
              </w:rPr>
              <w:t>Все материалы размещены на официальном сайте инспекции по адресу:</w:t>
            </w:r>
          </w:p>
          <w:p w:rsidR="00750092" w:rsidRDefault="000F7879" w:rsidP="00ED1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6831BD" w:rsidRPr="001E11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http://gsn.nso.ru/page/183</w:t>
              </w:r>
            </w:hyperlink>
            <w:r w:rsidR="00683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750092" w:rsidRDefault="00750092" w:rsidP="00ED1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7235" w:rsidRPr="00CF7235" w:rsidRDefault="00CF7235" w:rsidP="00CF7235">
      <w:pPr>
        <w:keepNext/>
        <w:keepLines/>
        <w:spacing w:after="0" w:line="240" w:lineRule="auto"/>
        <w:ind w:left="1134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sectPr w:rsidR="00CF7235" w:rsidRPr="00CF7235" w:rsidSect="00222733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79" w:rsidRDefault="000F7879" w:rsidP="00DF4D95">
      <w:pPr>
        <w:spacing w:after="0" w:line="240" w:lineRule="auto"/>
      </w:pPr>
      <w:r>
        <w:separator/>
      </w:r>
    </w:p>
  </w:endnote>
  <w:endnote w:type="continuationSeparator" w:id="0">
    <w:p w:rsidR="000F7879" w:rsidRDefault="000F7879" w:rsidP="00D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79" w:rsidRDefault="000F7879" w:rsidP="00DF4D95">
      <w:pPr>
        <w:spacing w:after="0" w:line="240" w:lineRule="auto"/>
      </w:pPr>
      <w:r>
        <w:separator/>
      </w:r>
    </w:p>
  </w:footnote>
  <w:footnote w:type="continuationSeparator" w:id="0">
    <w:p w:rsidR="000F7879" w:rsidRDefault="000F7879" w:rsidP="00DF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634"/>
      <w:docPartObj>
        <w:docPartGallery w:val="Page Numbers (Top of Page)"/>
        <w:docPartUnique/>
      </w:docPartObj>
    </w:sdtPr>
    <w:sdtEndPr/>
    <w:sdtContent>
      <w:p w:rsidR="00BC5CC6" w:rsidRDefault="00BC5CC6">
        <w:pPr>
          <w:pStyle w:val="ac"/>
          <w:jc w:val="center"/>
        </w:pPr>
        <w:r w:rsidRPr="00DF4D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D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1E58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5CC6" w:rsidRDefault="00BC5C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40C63"/>
    <w:multiLevelType w:val="multilevel"/>
    <w:tmpl w:val="CF9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4C79"/>
    <w:multiLevelType w:val="hybridMultilevel"/>
    <w:tmpl w:val="C23E7046"/>
    <w:lvl w:ilvl="0" w:tplc="F6AE199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6A46D7"/>
    <w:multiLevelType w:val="multilevel"/>
    <w:tmpl w:val="F946A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>
    <w:nsid w:val="7795606D"/>
    <w:multiLevelType w:val="hybridMultilevel"/>
    <w:tmpl w:val="F7FC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5"/>
    <w:rsid w:val="0001014C"/>
    <w:rsid w:val="0001224E"/>
    <w:rsid w:val="00017EE0"/>
    <w:rsid w:val="0002296F"/>
    <w:rsid w:val="00024491"/>
    <w:rsid w:val="00027B89"/>
    <w:rsid w:val="0003455F"/>
    <w:rsid w:val="00034B63"/>
    <w:rsid w:val="00034F09"/>
    <w:rsid w:val="00035379"/>
    <w:rsid w:val="00061861"/>
    <w:rsid w:val="000647A7"/>
    <w:rsid w:val="00080BC9"/>
    <w:rsid w:val="00092EB6"/>
    <w:rsid w:val="00097D8B"/>
    <w:rsid w:val="000A0188"/>
    <w:rsid w:val="000B0AFC"/>
    <w:rsid w:val="000B2292"/>
    <w:rsid w:val="000B2885"/>
    <w:rsid w:val="000C50CB"/>
    <w:rsid w:val="000D08AD"/>
    <w:rsid w:val="000D187D"/>
    <w:rsid w:val="000D653E"/>
    <w:rsid w:val="000E067E"/>
    <w:rsid w:val="000E11A0"/>
    <w:rsid w:val="000E7240"/>
    <w:rsid w:val="000E797F"/>
    <w:rsid w:val="000F3173"/>
    <w:rsid w:val="000F5221"/>
    <w:rsid w:val="000F784B"/>
    <w:rsid w:val="000F7879"/>
    <w:rsid w:val="0010125F"/>
    <w:rsid w:val="00105AE7"/>
    <w:rsid w:val="00115269"/>
    <w:rsid w:val="00121494"/>
    <w:rsid w:val="0012572D"/>
    <w:rsid w:val="00127EC6"/>
    <w:rsid w:val="001422AC"/>
    <w:rsid w:val="00144750"/>
    <w:rsid w:val="00163BA2"/>
    <w:rsid w:val="00165323"/>
    <w:rsid w:val="001757E8"/>
    <w:rsid w:val="00176249"/>
    <w:rsid w:val="001A11D8"/>
    <w:rsid w:val="001A2518"/>
    <w:rsid w:val="001A6749"/>
    <w:rsid w:val="001B6D29"/>
    <w:rsid w:val="001C416A"/>
    <w:rsid w:val="001E7449"/>
    <w:rsid w:val="001E7E9A"/>
    <w:rsid w:val="001F4726"/>
    <w:rsid w:val="00206385"/>
    <w:rsid w:val="00220B3B"/>
    <w:rsid w:val="00222733"/>
    <w:rsid w:val="00227208"/>
    <w:rsid w:val="002321A4"/>
    <w:rsid w:val="00234A50"/>
    <w:rsid w:val="002373F2"/>
    <w:rsid w:val="002428B9"/>
    <w:rsid w:val="0024443D"/>
    <w:rsid w:val="00252610"/>
    <w:rsid w:val="002530EA"/>
    <w:rsid w:val="00266D08"/>
    <w:rsid w:val="00272963"/>
    <w:rsid w:val="00273E47"/>
    <w:rsid w:val="002802B2"/>
    <w:rsid w:val="00282F01"/>
    <w:rsid w:val="00287A4B"/>
    <w:rsid w:val="002A0AE1"/>
    <w:rsid w:val="002C26DD"/>
    <w:rsid w:val="002F1431"/>
    <w:rsid w:val="003014E4"/>
    <w:rsid w:val="00306A9E"/>
    <w:rsid w:val="00306F01"/>
    <w:rsid w:val="00307251"/>
    <w:rsid w:val="0031176A"/>
    <w:rsid w:val="00312182"/>
    <w:rsid w:val="00312ED6"/>
    <w:rsid w:val="00313A7E"/>
    <w:rsid w:val="00322D57"/>
    <w:rsid w:val="003242F6"/>
    <w:rsid w:val="00344B8C"/>
    <w:rsid w:val="003507FA"/>
    <w:rsid w:val="00355A6C"/>
    <w:rsid w:val="00356E17"/>
    <w:rsid w:val="0036711D"/>
    <w:rsid w:val="00370CCA"/>
    <w:rsid w:val="00373311"/>
    <w:rsid w:val="00374B83"/>
    <w:rsid w:val="00390829"/>
    <w:rsid w:val="003A7E80"/>
    <w:rsid w:val="003B607F"/>
    <w:rsid w:val="003B790F"/>
    <w:rsid w:val="003D0D74"/>
    <w:rsid w:val="003E4579"/>
    <w:rsid w:val="003E767C"/>
    <w:rsid w:val="00400AFA"/>
    <w:rsid w:val="00405AA8"/>
    <w:rsid w:val="00424D2B"/>
    <w:rsid w:val="004351AC"/>
    <w:rsid w:val="004402C1"/>
    <w:rsid w:val="00442BE2"/>
    <w:rsid w:val="00442ED3"/>
    <w:rsid w:val="00447788"/>
    <w:rsid w:val="004527F8"/>
    <w:rsid w:val="0045549D"/>
    <w:rsid w:val="00464772"/>
    <w:rsid w:val="00465EE8"/>
    <w:rsid w:val="00470438"/>
    <w:rsid w:val="00475D6E"/>
    <w:rsid w:val="00477CCC"/>
    <w:rsid w:val="00481E58"/>
    <w:rsid w:val="004877AA"/>
    <w:rsid w:val="00490A5B"/>
    <w:rsid w:val="00493F27"/>
    <w:rsid w:val="00495215"/>
    <w:rsid w:val="0049656A"/>
    <w:rsid w:val="004A0D34"/>
    <w:rsid w:val="004A1196"/>
    <w:rsid w:val="004B22CE"/>
    <w:rsid w:val="004B7F02"/>
    <w:rsid w:val="004C4F13"/>
    <w:rsid w:val="004E3D6D"/>
    <w:rsid w:val="004E74CE"/>
    <w:rsid w:val="005025B2"/>
    <w:rsid w:val="005038AF"/>
    <w:rsid w:val="00503CE1"/>
    <w:rsid w:val="005053FC"/>
    <w:rsid w:val="005064A2"/>
    <w:rsid w:val="005067F6"/>
    <w:rsid w:val="0051010C"/>
    <w:rsid w:val="005148BB"/>
    <w:rsid w:val="0051568B"/>
    <w:rsid w:val="0051673E"/>
    <w:rsid w:val="005173CF"/>
    <w:rsid w:val="00517A52"/>
    <w:rsid w:val="00522BF9"/>
    <w:rsid w:val="00524C1A"/>
    <w:rsid w:val="005316A2"/>
    <w:rsid w:val="00533FE6"/>
    <w:rsid w:val="00557885"/>
    <w:rsid w:val="00560663"/>
    <w:rsid w:val="00581890"/>
    <w:rsid w:val="00582469"/>
    <w:rsid w:val="005A064D"/>
    <w:rsid w:val="005A0A3E"/>
    <w:rsid w:val="005A1317"/>
    <w:rsid w:val="005B19E4"/>
    <w:rsid w:val="005B3500"/>
    <w:rsid w:val="005D79A9"/>
    <w:rsid w:val="005E3244"/>
    <w:rsid w:val="005F3458"/>
    <w:rsid w:val="005F7F8D"/>
    <w:rsid w:val="00600CE2"/>
    <w:rsid w:val="00603B9F"/>
    <w:rsid w:val="006066DC"/>
    <w:rsid w:val="006107F8"/>
    <w:rsid w:val="00613197"/>
    <w:rsid w:val="00614D15"/>
    <w:rsid w:val="0061633F"/>
    <w:rsid w:val="006163D6"/>
    <w:rsid w:val="006319FB"/>
    <w:rsid w:val="00643BEE"/>
    <w:rsid w:val="006475D1"/>
    <w:rsid w:val="00652235"/>
    <w:rsid w:val="0066057B"/>
    <w:rsid w:val="006608BD"/>
    <w:rsid w:val="006751A1"/>
    <w:rsid w:val="006831BD"/>
    <w:rsid w:val="00695240"/>
    <w:rsid w:val="006955FC"/>
    <w:rsid w:val="006A3F1E"/>
    <w:rsid w:val="006A3F21"/>
    <w:rsid w:val="006B232D"/>
    <w:rsid w:val="006B5736"/>
    <w:rsid w:val="006B7A19"/>
    <w:rsid w:val="006C125A"/>
    <w:rsid w:val="006D24D7"/>
    <w:rsid w:val="006D73E7"/>
    <w:rsid w:val="006E3485"/>
    <w:rsid w:val="006E5A88"/>
    <w:rsid w:val="006F7063"/>
    <w:rsid w:val="007002C7"/>
    <w:rsid w:val="00710DC7"/>
    <w:rsid w:val="00713514"/>
    <w:rsid w:val="00734DFA"/>
    <w:rsid w:val="007360A4"/>
    <w:rsid w:val="007363FF"/>
    <w:rsid w:val="00736B24"/>
    <w:rsid w:val="00750092"/>
    <w:rsid w:val="00751C06"/>
    <w:rsid w:val="007550BF"/>
    <w:rsid w:val="007573D9"/>
    <w:rsid w:val="00757EBE"/>
    <w:rsid w:val="00760952"/>
    <w:rsid w:val="007638D0"/>
    <w:rsid w:val="0076640B"/>
    <w:rsid w:val="00767852"/>
    <w:rsid w:val="007702C1"/>
    <w:rsid w:val="007741EA"/>
    <w:rsid w:val="0077590B"/>
    <w:rsid w:val="00787773"/>
    <w:rsid w:val="00795A53"/>
    <w:rsid w:val="007975F6"/>
    <w:rsid w:val="007A5C18"/>
    <w:rsid w:val="007B1B3D"/>
    <w:rsid w:val="007B7BF2"/>
    <w:rsid w:val="007C6392"/>
    <w:rsid w:val="007D568C"/>
    <w:rsid w:val="0080228F"/>
    <w:rsid w:val="008024CC"/>
    <w:rsid w:val="00805465"/>
    <w:rsid w:val="008129B8"/>
    <w:rsid w:val="00821552"/>
    <w:rsid w:val="00823DD4"/>
    <w:rsid w:val="00826897"/>
    <w:rsid w:val="00837D6A"/>
    <w:rsid w:val="0084282B"/>
    <w:rsid w:val="008432B8"/>
    <w:rsid w:val="00844C02"/>
    <w:rsid w:val="00851DE3"/>
    <w:rsid w:val="00855033"/>
    <w:rsid w:val="008552CB"/>
    <w:rsid w:val="00867680"/>
    <w:rsid w:val="0087075F"/>
    <w:rsid w:val="0087619D"/>
    <w:rsid w:val="00885E0C"/>
    <w:rsid w:val="00887F7E"/>
    <w:rsid w:val="00891949"/>
    <w:rsid w:val="0089395A"/>
    <w:rsid w:val="008B08C1"/>
    <w:rsid w:val="008B7314"/>
    <w:rsid w:val="008C2260"/>
    <w:rsid w:val="008C5968"/>
    <w:rsid w:val="008D27C8"/>
    <w:rsid w:val="008D4F6A"/>
    <w:rsid w:val="008E6E95"/>
    <w:rsid w:val="008F1508"/>
    <w:rsid w:val="008F3F80"/>
    <w:rsid w:val="008F6037"/>
    <w:rsid w:val="008F7A0A"/>
    <w:rsid w:val="00901AB8"/>
    <w:rsid w:val="00916139"/>
    <w:rsid w:val="00917E7A"/>
    <w:rsid w:val="00922FCA"/>
    <w:rsid w:val="009263C1"/>
    <w:rsid w:val="0092768F"/>
    <w:rsid w:val="009316C6"/>
    <w:rsid w:val="009524A0"/>
    <w:rsid w:val="009526F2"/>
    <w:rsid w:val="009528A5"/>
    <w:rsid w:val="00960119"/>
    <w:rsid w:val="00965736"/>
    <w:rsid w:val="009728E8"/>
    <w:rsid w:val="00975A49"/>
    <w:rsid w:val="00986B5B"/>
    <w:rsid w:val="009A6392"/>
    <w:rsid w:val="009B36CB"/>
    <w:rsid w:val="009B6219"/>
    <w:rsid w:val="009C0B8C"/>
    <w:rsid w:val="009C1566"/>
    <w:rsid w:val="009D3D20"/>
    <w:rsid w:val="009D690F"/>
    <w:rsid w:val="009E4834"/>
    <w:rsid w:val="009E6BE6"/>
    <w:rsid w:val="009F22AC"/>
    <w:rsid w:val="009F3167"/>
    <w:rsid w:val="00A133E0"/>
    <w:rsid w:val="00A15916"/>
    <w:rsid w:val="00A25836"/>
    <w:rsid w:val="00A27502"/>
    <w:rsid w:val="00A335DD"/>
    <w:rsid w:val="00A367DC"/>
    <w:rsid w:val="00A461D6"/>
    <w:rsid w:val="00A67B4C"/>
    <w:rsid w:val="00A8653A"/>
    <w:rsid w:val="00A9388F"/>
    <w:rsid w:val="00A97710"/>
    <w:rsid w:val="00AA03B4"/>
    <w:rsid w:val="00AB2965"/>
    <w:rsid w:val="00AB2B29"/>
    <w:rsid w:val="00AC2B91"/>
    <w:rsid w:val="00AC4157"/>
    <w:rsid w:val="00AD38F2"/>
    <w:rsid w:val="00AE04C7"/>
    <w:rsid w:val="00B07F53"/>
    <w:rsid w:val="00B10770"/>
    <w:rsid w:val="00B22EEC"/>
    <w:rsid w:val="00B25ED9"/>
    <w:rsid w:val="00B301DB"/>
    <w:rsid w:val="00B3039D"/>
    <w:rsid w:val="00B3069A"/>
    <w:rsid w:val="00B31300"/>
    <w:rsid w:val="00B4175A"/>
    <w:rsid w:val="00B445BE"/>
    <w:rsid w:val="00B5126C"/>
    <w:rsid w:val="00B539A2"/>
    <w:rsid w:val="00B63E03"/>
    <w:rsid w:val="00B64E4F"/>
    <w:rsid w:val="00B65BFE"/>
    <w:rsid w:val="00B668C6"/>
    <w:rsid w:val="00B712D4"/>
    <w:rsid w:val="00B8591B"/>
    <w:rsid w:val="00B86207"/>
    <w:rsid w:val="00B878E2"/>
    <w:rsid w:val="00B934E9"/>
    <w:rsid w:val="00B9367E"/>
    <w:rsid w:val="00BB1B92"/>
    <w:rsid w:val="00BB1FAC"/>
    <w:rsid w:val="00BC5CC6"/>
    <w:rsid w:val="00BF03A5"/>
    <w:rsid w:val="00BF3BF0"/>
    <w:rsid w:val="00C158F3"/>
    <w:rsid w:val="00C209CC"/>
    <w:rsid w:val="00C20B09"/>
    <w:rsid w:val="00C366D4"/>
    <w:rsid w:val="00C37424"/>
    <w:rsid w:val="00C42A74"/>
    <w:rsid w:val="00C653C3"/>
    <w:rsid w:val="00C673D8"/>
    <w:rsid w:val="00C77CEC"/>
    <w:rsid w:val="00C83088"/>
    <w:rsid w:val="00C870A5"/>
    <w:rsid w:val="00C906D9"/>
    <w:rsid w:val="00C9635D"/>
    <w:rsid w:val="00C975A9"/>
    <w:rsid w:val="00CA39C8"/>
    <w:rsid w:val="00CA51D6"/>
    <w:rsid w:val="00CB10E0"/>
    <w:rsid w:val="00CB3B28"/>
    <w:rsid w:val="00CB3D55"/>
    <w:rsid w:val="00CB7F22"/>
    <w:rsid w:val="00CC09B2"/>
    <w:rsid w:val="00CC2E26"/>
    <w:rsid w:val="00CE3B3C"/>
    <w:rsid w:val="00CF7235"/>
    <w:rsid w:val="00D064DD"/>
    <w:rsid w:val="00D26E9C"/>
    <w:rsid w:val="00D47C53"/>
    <w:rsid w:val="00D51701"/>
    <w:rsid w:val="00D61D04"/>
    <w:rsid w:val="00D63D90"/>
    <w:rsid w:val="00D66BA9"/>
    <w:rsid w:val="00D80C19"/>
    <w:rsid w:val="00D8100C"/>
    <w:rsid w:val="00D86F02"/>
    <w:rsid w:val="00D92A4C"/>
    <w:rsid w:val="00DA04B0"/>
    <w:rsid w:val="00DD335E"/>
    <w:rsid w:val="00DD6859"/>
    <w:rsid w:val="00DF4D95"/>
    <w:rsid w:val="00E04D3A"/>
    <w:rsid w:val="00E16D8E"/>
    <w:rsid w:val="00E24221"/>
    <w:rsid w:val="00E567E5"/>
    <w:rsid w:val="00E62F7D"/>
    <w:rsid w:val="00E651F4"/>
    <w:rsid w:val="00E654BB"/>
    <w:rsid w:val="00E72B60"/>
    <w:rsid w:val="00E76C81"/>
    <w:rsid w:val="00E87F98"/>
    <w:rsid w:val="00E94640"/>
    <w:rsid w:val="00E96AA9"/>
    <w:rsid w:val="00E97B81"/>
    <w:rsid w:val="00EB0ACB"/>
    <w:rsid w:val="00EB20E3"/>
    <w:rsid w:val="00EB2BE3"/>
    <w:rsid w:val="00EC24F1"/>
    <w:rsid w:val="00EC3A6B"/>
    <w:rsid w:val="00EC41B8"/>
    <w:rsid w:val="00ED1EEF"/>
    <w:rsid w:val="00ED1F90"/>
    <w:rsid w:val="00ED31FB"/>
    <w:rsid w:val="00ED34A8"/>
    <w:rsid w:val="00ED4DF3"/>
    <w:rsid w:val="00EE2F38"/>
    <w:rsid w:val="00EF3AE9"/>
    <w:rsid w:val="00F06E5E"/>
    <w:rsid w:val="00F12B4A"/>
    <w:rsid w:val="00F17569"/>
    <w:rsid w:val="00F21BC3"/>
    <w:rsid w:val="00F23586"/>
    <w:rsid w:val="00F27ECE"/>
    <w:rsid w:val="00F30069"/>
    <w:rsid w:val="00F33F73"/>
    <w:rsid w:val="00F41F41"/>
    <w:rsid w:val="00F41F5D"/>
    <w:rsid w:val="00F42DE0"/>
    <w:rsid w:val="00F47F3E"/>
    <w:rsid w:val="00F5664D"/>
    <w:rsid w:val="00F613D4"/>
    <w:rsid w:val="00F630FE"/>
    <w:rsid w:val="00F67611"/>
    <w:rsid w:val="00F711DC"/>
    <w:rsid w:val="00F75876"/>
    <w:rsid w:val="00F82E80"/>
    <w:rsid w:val="00F83BE7"/>
    <w:rsid w:val="00F86105"/>
    <w:rsid w:val="00F87678"/>
    <w:rsid w:val="00F974BA"/>
    <w:rsid w:val="00FA27AF"/>
    <w:rsid w:val="00FC4031"/>
    <w:rsid w:val="00FC4728"/>
    <w:rsid w:val="00FC71C2"/>
    <w:rsid w:val="00FD38F3"/>
    <w:rsid w:val="00FD4971"/>
    <w:rsid w:val="00FD6A5D"/>
    <w:rsid w:val="00FE051E"/>
    <w:rsid w:val="00FE4892"/>
    <w:rsid w:val="00FF339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8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6" Type="http://schemas.openxmlformats.org/officeDocument/2006/relationships/hyperlink" Target="http://gsn.nso.ru/page/328" TargetMode="External"/><Relationship Id="rId39" Type="http://schemas.openxmlformats.org/officeDocument/2006/relationships/hyperlink" Target="https://gsn.nso.ru/page/18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79B4C1C521F9A07E2022974198AD9FD8562ED3B94585B5B7F125F524219478C69AA1EBC5DA42FC12EDEBE7A2C8615B51027A7BC8CBR5NEG" TargetMode="External"/><Relationship Id="rId34" Type="http://schemas.openxmlformats.org/officeDocument/2006/relationships/hyperlink" Target="http://gsn.nso.ru/page/341" TargetMode="External"/><Relationship Id="rId42" Type="http://schemas.openxmlformats.org/officeDocument/2006/relationships/hyperlink" Target="https://gsn.nso.ru/page/33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17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5" Type="http://schemas.openxmlformats.org/officeDocument/2006/relationships/chart" Target="charts/chart3.xml"/><Relationship Id="rId33" Type="http://schemas.openxmlformats.org/officeDocument/2006/relationships/hyperlink" Target="http://gsn.nso.ru/page/347" TargetMode="External"/><Relationship Id="rId38" Type="http://schemas.openxmlformats.org/officeDocument/2006/relationships/hyperlink" Target="https://gsn.nso.ru/page/34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0" Type="http://schemas.openxmlformats.org/officeDocument/2006/relationships/hyperlink" Target="consultantplus://offline/ref=4679B4C1C521F9A07E2022974198AD9FD8562ED3B94585B5B7F125F524219478C69AA1EBC5DA43FC12EDEBE7A2C8615B51027A7BC8CBR5NEG" TargetMode="External"/><Relationship Id="rId29" Type="http://schemas.openxmlformats.org/officeDocument/2006/relationships/hyperlink" Target="https://gsn.nso.ru/page/550" TargetMode="External"/><Relationship Id="rId41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2.xml"/><Relationship Id="rId32" Type="http://schemas.openxmlformats.org/officeDocument/2006/relationships/hyperlink" Target="https://gsn.nso.ru/page/549" TargetMode="External"/><Relationship Id="rId37" Type="http://schemas.openxmlformats.org/officeDocument/2006/relationships/hyperlink" Target="https://monitoring.ar.gov.ru" TargetMode="External"/><Relationship Id="rId40" Type="http://schemas.openxmlformats.org/officeDocument/2006/relationships/hyperlink" Target="https://gsn.nso.ru/page/332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3" Type="http://schemas.openxmlformats.org/officeDocument/2006/relationships/hyperlink" Target="consultantplus://offline/ref=74884D68F584579F4FEA83619AE371D011F5193A469000EBA1B6E8AAFA29BE02AF3867B618B4A5E0C88848BAE7716AD4EBEE78587DDDr6OFG" TargetMode="External"/><Relationship Id="rId28" Type="http://schemas.openxmlformats.org/officeDocument/2006/relationships/hyperlink" Target="http://gsn.nso.ru/page/48" TargetMode="External"/><Relationship Id="rId36" Type="http://schemas.openxmlformats.org/officeDocument/2006/relationships/hyperlink" Target="https://gsn.nso.ru/page/188" TargetMode="External"/><Relationship Id="rId10" Type="http://schemas.openxmlformats.org/officeDocument/2006/relationships/hyperlink" Target="consultantplus://offline/ref=8D5B2DD5022EC3D2C5BEF99CD4D51F7D35C51D58F0BCAE27DFBA13FB1022148D71802CF750439890A03A5CB357BACE1B06F46C8E152FT9w2C" TargetMode="External"/><Relationship Id="rId19" Type="http://schemas.openxmlformats.org/officeDocument/2006/relationships/hyperlink" Target="consultantplus://offline/ref=4679B4C1C521F9A07E2022974198AD9FD8562ED3B94585B5B7F125F524219478C69AA1EBC5DB4AFC12EDEBE7A2C8615B51027A7BC8CBR5NEG" TargetMode="External"/><Relationship Id="rId31" Type="http://schemas.openxmlformats.org/officeDocument/2006/relationships/hyperlink" Target="http://gsn.nso.ru/page/329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837794" TargetMode="External"/><Relationship Id="rId14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22" Type="http://schemas.openxmlformats.org/officeDocument/2006/relationships/hyperlink" Target="consultantplus://offline/ref=4679B4C1C521F9A07E2022974198AD9FD8562ED3B94585B5B7F125F524219478C69AA1EBC3DE40FC12EDEBE7A2C8615B51027A7BC8CBR5NEG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35" Type="http://schemas.openxmlformats.org/officeDocument/2006/relationships/hyperlink" Target="https://gsn.nso.ru/page/534" TargetMode="External"/><Relationship Id="rId43" Type="http://schemas.openxmlformats.org/officeDocument/2006/relationships/hyperlink" Target="http://gsn.nso.ru/page/18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                   по категориям риска по состоянию на 01.10.2022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258304"/>
        <c:axId val="114259840"/>
      </c:barChart>
      <c:catAx>
        <c:axId val="114258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14259840"/>
        <c:crosses val="autoZero"/>
        <c:auto val="1"/>
        <c:lblAlgn val="ctr"/>
        <c:lblOffset val="100"/>
        <c:noMultiLvlLbl val="0"/>
      </c:catAx>
      <c:valAx>
        <c:axId val="11425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58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 Динамика выданных инспекцией предписаний об устранении нарушений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2021, 2022 г.г.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047191810187074E-2"/>
          <c:y val="0.271838778773343"/>
          <c:w val="0.48596847296197682"/>
          <c:h val="0.610266590239438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выданных инспекцией предписаний об устранении нарушений за 9 месяцев 2021,  2022 г.г</c:v>
                </c:pt>
              </c:strCache>
            </c:strRef>
          </c:tx>
          <c:dLbls>
            <c:dLbl>
              <c:idx val="0"/>
              <c:layout>
                <c:manualLayout>
                  <c:x val="-0.10657671697287839"/>
                  <c:y val="2.3492880826994345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042951662292214"/>
                  <c:y val="-8.8411936805149208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Всего предписаний по состоянию на 01.10.2022</c:v>
                </c:pt>
                <c:pt idx="1">
                  <c:v>Всего предписаний по состоянию на 01.10.2021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295</c:v>
                </c:pt>
                <c:pt idx="1">
                  <c:v>360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3. Виды административных наказаний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совершение административных правонарушений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9 месяцев 2022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80342004090761"/>
          <c:y val="1.72920629431091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669492678549168E-2"/>
          <c:y val="0.23525875694326548"/>
          <c:w val="0.53262649460484102"/>
          <c:h val="0.52308036896011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постановлений/решений  инспекции по состоянию на 01.10.2022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Предупреждение</c:v>
                </c:pt>
                <c:pt idx="1">
                  <c:v>Административный штраф </c:v>
                </c:pt>
                <c:pt idx="2">
                  <c:v>Административный арест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</c:v>
                </c:pt>
                <c:pt idx="1">
                  <c:v>149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постановлений/решений судов на 01.10.2022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Предупреждение</c:v>
                </c:pt>
                <c:pt idx="1">
                  <c:v>Административный штраф </c:v>
                </c:pt>
                <c:pt idx="2">
                  <c:v>Административный арест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47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200704"/>
        <c:axId val="134202496"/>
      </c:barChart>
      <c:catAx>
        <c:axId val="134200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134202496"/>
        <c:crosses val="autoZero"/>
        <c:auto val="1"/>
        <c:lblAlgn val="ctr"/>
        <c:lblOffset val="100"/>
        <c:noMultiLvlLbl val="0"/>
      </c:catAx>
      <c:valAx>
        <c:axId val="13420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0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1903DF-69AD-4964-BD43-9221EE4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14</cp:revision>
  <cp:lastPrinted>2022-10-19T01:46:00Z</cp:lastPrinted>
  <dcterms:created xsi:type="dcterms:W3CDTF">2022-10-13T07:44:00Z</dcterms:created>
  <dcterms:modified xsi:type="dcterms:W3CDTF">2022-10-19T01:53:00Z</dcterms:modified>
</cp:coreProperties>
</file>