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31.03.2025 по 04.04.2025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Здание фельдшерско-акушерского пункта в с. Индерь Государственного бюджетного учреждения здравоохранения Новосибирской области «Доволенская ЦРБ», расположенного по адресу: Новосибирская обл, Доволенский м.р-н, Индерский сельсовет с.п., Индерь с, кадастровы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 номер земельного участка 54:05:020503:356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«ПрофиСтрой»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Многоквартирный многоэтажный дом с помещениями обслуживания населения и подземной автостоянкой. Корпус № 3 с помещениями обслуживания населения и подземной автостоянкой», расположенном по адресу: Новосибирская область, г. Новосибирск, Октябрьский район, ка</w:t>
            </w:r>
            <w:r>
              <w:t xml:space="preserve">дастровый номер земельного участка: 54:35:074671:40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«СМУ»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с помещениями магазинов, медицинских организаций, встроенной автостоянкой», расположенного по адресу: Новосибирская область, город Новосибирск, Центральный район, кадастровый номер земельного участка 54:35:101065:75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«КПСС»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с помещениями магазинов, медицинских организаций, встроенной автостоянкой», расположенного по адресу: Новосибирская область, город Новосибирск, Центральный район, кадастровый номер земельного участка 54:35:101065:75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«Стройэкспресс»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01.04.2025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«Углепогрузочная станция ООО «Сибирская Инвестиционная Группа». Блок управления установкой обеззараживания (поз. 8.6). Противопожарная насосная станция (поз. 10). Весовая автомобильная (поз. 12). Помещение для обогрева (поз. 17). Ж.д. пути.»,</w:t>
            </w:r>
            <w:r>
              <w:t xml:space="preserve"> </w:t>
            </w:r>
            <w:r>
              <w:t xml:space="preserve">расположенному по адресу: Новосибирская область, Тогучинский муниципальный район, сельское поселение Кировский сельсовет, кадастровый номер земельного участка 54:24:052709:675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«Сибирская инвестиционная группа»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Здание фельдшерско-акушерского пункта в с. Индерь Государственного бюджетного учреждения здравоохранения Новосибирской области «Доволенская ЦРБ», расположенного по адресу: Новосибирская область, Доволенский м.р-н, Индерский сельсовет с.п., Индерь с, кадаст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ровый номер земельного участка 54:05:020503:356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09:15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дание фельдшерско-акушерского пункта в д. Холодное Государственного бюджетного учреждения здравоохранения Новосибирской области «Сузунская ЦРБ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Сузунский район, сельское поселение д. Холодное, улица Почтовая, 2 «А» , кадастровый номер земельного участка 54:22:014201:569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Административное здание со встроенными помещениями общественного назначения, подземной автостоянкой и трансформаторной подстанцией», расположенного по адресу: Новосибирская область, г. Новосибирск, Октябрьский район, кадастровый номер земельного участка 54</w:t>
            </w:r>
            <w:r>
              <w:t xml:space="preserve">:35:074460:38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СМК8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Здание фельдшерско-акушерского пункта в д. Холодное Государственного бюджетного учреждения здравоохранения Новосибирской области «Сузунская ЦРБ»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Сузунский район, сельское поселение д. Холодное, улица Почтовая, 2 «А» , кадастровый номер земельного участка 54:22:014201:569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«ОЛИМПИК»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Административное здание со встроенными помещениями общественного назначения, подземной автостоянкой и трансформаторной подстанцией», расположенного по адресу: Новосибирская область, г. Новосибирск, Октябрьский район, кадастровый номер земельного участка 54</w:t>
            </w:r>
            <w:r>
              <w:t xml:space="preserve">:35:074460:38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НЕРГЕОПРОМ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Многоквартирный многоэтажный дом с объектами обслуживания жилой застройки во встроенных и встроенно-пристроенных помещениях многоквартирного многоэтажного дома с подземной автостоянкой», расположенного по адресу: Новосибирская область, город Новосибирск, З</w:t>
            </w:r>
            <w:r>
              <w:t xml:space="preserve">аельцовский район, кадастровые номера земельного участка 54:35:032710:16, 54:35:000000:313, 54:35:032780:130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СЗ «ПЕРВЫЙ»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Многоквартирные дома смешанной этажности с объектами обслуживания жилой застройки во встроенных и встроенно-пристроенных помещениях, автостоянки. Блок-секции № 1-4 дома № 1 (по ГП) с подземной встроенно-пристроенной автостоянкой, автостоянка № 3 (по генпла</w:t>
            </w:r>
            <w:r>
              <w:t xml:space="preserve">н</w:t>
            </w:r>
            <w:r>
              <w:t xml:space="preserve">у) – I этап строительства многоквартирного дома смешанной этажности с объектами обслуживания жилой застройки во встроенных и встроенно-пристроенных помещениях, автостоянки», расположенного по адресу: Новосибирская область, г. Новосибирск, Октябрьский район</w:t>
            </w:r>
            <w:r>
              <w:t xml:space="preserve">, кадастровый номер земельного участка 54:35:072001:897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СГ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Меридиан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t xml:space="preserve">03.04.2025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Многоквартирные дома смешанной этажности с объектами обслуживания жилой застройки во встроенных и встроенно-пристроенных помещениях, автостоянки. Блок-секции № 1-4 дома № 1 (по ГП) с подземной встроенно-пристроенной автостоянкой, автостоянка № 3 (по генпла</w:t>
            </w:r>
            <w:r>
              <w:t xml:space="preserve">н</w:t>
            </w:r>
            <w:r>
              <w:t xml:space="preserve">у) – I этап строительства многоквартирного дома смешанной этажности с объектами обслуживания жилой застройки во встроенных и встроенно-пристроенных помещениях, автостоянки», расположенного по адресу: Новосибирская область, г. Новосибирск, Октябрьский район</w:t>
            </w:r>
            <w:r>
              <w:t xml:space="preserve">, кадастровый номер земельного участка 54:35:072001:897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Партнер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t xml:space="preserve">03.04.2025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«Металлопрокатный завод по производству арматуры»» расположенного по адресу: Новосибирская область, город Искитим, ул. Заводская, д .1Б, кадастровый номер земельного участка 54:33:020701:86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«ЮМПЗ                      (материал из прокуратуры)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Питьевой водопровод, хозяйственно-бытовая канализация и канализационная насосная станция территории микрорайона Клюквенный в Калининском районе г. Новосибирска». Питьевой водопровод. 1 этап», расположенном по адресу: Новосибирская область, г. Новосибирск, </w:t>
            </w:r>
            <w:r>
              <w:t xml:space="preserve">Калининский район, микрорайон Клюквенный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АО «АРЖС НСО» 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14:15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«Металлопрокатный завод по производству арматуры»» расположенного по адресу: Новосибирская область, город Искитим, ул. Заводская, д .1Б, кадастровый номер земельного участка 54:33:020701:86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«ЮМПЗ                      (материал из прокуратуры)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«Склад с помещениями административного назначения», расположенного по адресу: Новосибирская область, город Новосибирск, Заельцовский район, кадастровый номер земельного участка 54:35:033060:1661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«НОВАК»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03.04.2025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14:45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«Склад с помещениями административного назначения», расположенного по адресу: Новосибирская область, город Новосибирск, Заельцовский район, кадастровый номер земельного участка 54:35:033060:1661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«ПРОМУПАК-НОВОСИБИРСК»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6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40</cp:revision>
  <dcterms:created xsi:type="dcterms:W3CDTF">2024-05-17T02:05:00Z</dcterms:created>
  <dcterms:modified xsi:type="dcterms:W3CDTF">2025-03-28T06:06:08Z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