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28.07.2025 по 01.08.2025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26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Общественно-торговый комплекс с подземными автостоянками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br/>
              <w:t xml:space="preserve">ул. Ватутина, (31), кадастровый номер земельного участка 54:35:064242:8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Мэрия города Новосибирска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за Сальников Д.С. 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«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Многоквартирный жилой дом № 1 (по генплану) – II этап строительства группы многоквартирных жилых домов с объектами обслуживания жилой застройки во строенных, пристроенных помещениях и автостоянками», расположенном по адресу: Новосибирская область, город Но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восибирск, Ленинский район, кадастровые номера земельных участков 54:35:061060:36, 54:35:061060:38, 54:35:061060:40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/>
              </w:rPr>
              <w:t xml:space="preserve">СПЕЦСТРОЙ-НСК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Стекольщикова Ю.А.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481 </w:t>
              <w:br/>
              <w:t xml:space="preserve">от 21.11.2020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«СТРОЙИНТЕХ»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09:45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40 </w:t>
              <w:br/>
              <w:t xml:space="preserve">от 16.01.2020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«ПСК Сибстрой Плюс»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09:50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Многоквартирный жилой дом № 1 (по генплану) – II этап строительства группы многоквартирных жилых домов с объектами обслуживания жилой застройки во строенных, пристроенных помещениях и автостоянками», расположенном по адресу: Новосибирская область, город 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восибирск, Ленинский район, кадастровые номера земельных участков 54:35:061060:36, 54:35:061060:38, 54:35:061060:40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СПЕЦСТРОЙ-НСК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2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41 </w:t>
              <w:br/>
              <w:t xml:space="preserve">от 16.01.2020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«ПСК Сибстрой Плюс»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10:10</w:t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Многоквартирный жилой дом № 1 (по генплану) – II этап строительства группы многоквартирных жилых домов с объектами обслуживания жилой застройки во строенных, пристроенных помещениях и автостоянками», расположенном по адресу: Новосибирская область, город 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восибирск, Ленинский район, кадастровые номера земельных участков 54:35:061060:36, 54:35:061060:38, 54:35:061060:40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  <w:lang w:eastAsia="ru-RU"/>
              </w:rPr>
              <w:t xml:space="preserve">ООО «СОЮЗ-ИНЖИНИРИНГ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Стекольщикова Ю.А.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10:30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Рек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онструкция здания профилактория в медицинский стационар </w:t>
              <w:br/>
              <w:t xml:space="preserve">с круглосуточным пребыванием пациентов - I этап реконструкции  профилактория </w:t>
              <w:br/>
              <w:t xml:space="preserve">в медицинский стационар с круглосуточным пребыванием пациентов и строительства зданий медицинского центра (№ 7, № 8, № 9,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№ 10 по генплану)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расположенном по адресу: 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Новосибирская область, г. Новосибирск, Калининский район, улица Новая Заря, д. 51а, кадастровый номер земельного участка 54:35:041700:263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«Электропрофиль»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29.07.2025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10:45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Реконструкция дилерского центра «Тойота» в многоквартирный многоэтажный жилой дом со встроенно-пристроенными помещениями общественного назначения и подземной автостоянкой», расположенном по адресу: Новосибирская область, город Новосибирск, Дзержинский райо</w:t>
            </w:r>
            <w:r>
              <w:t xml:space="preserve">н, улица Фрунзе, д. 236, кадастровый номер земельного участка 54:35:000000:43037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инженер строительного контроля ООО «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ТЗСГД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» – Зизевских В.Е.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29.07.2025</w:t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13-00</w:t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«Здание склада с административно-бытовыми помещениями», расположенном по адресу: Новосибирская область, город Новосибирск, Ленинский район, кадастровый номер земельного участка 54:35:061490:2971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highlight w:val="white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u w:val="none"/>
                <w:lang w:eastAsia="ru-RU"/>
              </w:rPr>
              <w:t xml:space="preserve">АВАНГАРД-НСК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Стекольщикова Ю.А.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Здание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: 674,6 м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: 1935,1 м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: 506,3 м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расположенных по адресу: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Новосибирская область, г. Новосибирск, Ленинский район, ул. 2-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я Станционная, 30а, корпус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  <w:lang w:eastAsia="ru-RU"/>
              </w:rPr>
              <w:t xml:space="preserve">, кадастровый номер земельного участка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54:35:062110:123</w:t>
            </w:r>
            <w:r>
              <w:rPr>
                <w:rStyle w:val="863"/>
                <w:rFonts w:ascii="Times New Roman" w:hAnsi="Times New Roman" w:eastAsia="Times New Roman" w:cs="Times New Roman"/>
                <w:b w:val="0"/>
                <w:bCs w:val="0"/>
                <w:spacing w:val="-6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Захаров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5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«Здание «Многоуровневые гаражи», расположенном по адресу: Новосибирская область, Новосибирский район, муниципальное образование рабочий поселок Краснообск, рабочий поселок Краснообск, кадастровый номер земельного участка 54:19:180601:64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Юнистрой-2»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«Здание «Многоуровневые гаражи», расположенном по адресу: Новосибирская область, Новосибирский район, муниципальное образование рабочий поселок Краснообск, рабочий поселок Краснообск, кадастровый номер земельного участка 54:19:180601:64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Юнистрой-2»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5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жилой дом с помещениями общественного назначения», расположенного по адресу: Новосибирская область, городской округ город Искитим, город Искитим, ул. Комсомольская, дом 33, кадастровый номер земельного участка 54:33:050208:462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начальник участка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 ООО СЗ 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ЦЕНТРСТРОЙ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» Сивков С.В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09:20</w:t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Здание склада с административно-бытовыми помещениями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расположенном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highlight w:val="white"/>
              </w:rPr>
              <w:t xml:space="preserve">54:35:061490:2971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«МЕТАКОМ»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Стекольщикова Ю.А.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09:40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«Гостиница по адресу: НСО, р-н Новосибирский, Морской сельсовет (кадастровый № участка 54:19:072401:16)», расположенный по адресу: НСО, Новосибирский район, Морской сельсовет, КНЗУ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54:19:072401:16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«Гостиница по адресу: НСО, р-н Новосибирский, Морской сельсовет (кадастровый № участка 54:19:072401:16)», расположенный по адресу: НСО, Новосибирский район, Морской сельсовет, КНЗУ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54:19:072401:16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«Филигран»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10:20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«Многоквартирный малоэтажный дом с помещениями общественного назначения, подземной автостоянкой», расположенный по адресу: г. Новосибирск, Заельцовский район, КНЗУ: 54:35:032640:932, 54:35:032640:22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СК «Серебро»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«Здание автовокзала со строительством надстройки, пристроек, устройством посадочных платформ с навесом», расположенный по адресу: г. Новосибирск, Центральный район, Красный проспект, 4, КНЗУ 54:35:101580:10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«Чемской»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highlight w:val="white"/>
              </w:rPr>
              <w:t xml:space="preserve">ч. 1 ст. 9.4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13:30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«Здание автовокзала со строительством надстройки, пристроек, устройством посадочных платформ с навесом», расположенный по адресу: г. Новосибирск, Центральный район, Красный проспект, 4, КНЗУ 54:35:101580:10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«Атлант»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 w:customStyle="1">
    <w:name w:val="Font Style81"/>
    <w:qFormat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45</cp:revision>
  <dcterms:created xsi:type="dcterms:W3CDTF">2024-05-17T02:05:00Z</dcterms:created>
  <dcterms:modified xsi:type="dcterms:W3CDTF">2025-07-25T03:42:47Z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