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24.03.2025 по 28.03.2025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фельдшерско-акушерского пункта </w:t>
            </w:r>
            <w:r>
              <w:t xml:space="preserve">в с. Юрты Государственного бюджетного учреждения здравоохранения Новосибирской области «Тогучинская ЦРБ», расположенному по адресу: Новосибирская область, Тогучинский район, с. Юрты, ул. Бригадная, 28а, кадастровый номер земельного участка 54:24:055404:379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ГКУ НСО «УКС»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Здание фельдшерско-акушерского пункта в ауле Тебисе Государственного бюджетного учреждения здравоохранения Новосибирской области «Чановская ЦРБ», расположенного по адресу: Новосибирская область, Чановский район, Тебисский сельсовет, аул Тебис, кадастровый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земельного участка 54:27:000000:1919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Здание фельдшерско-акушерского пункта в ауле Тебисе Государственного бюджетного учреждения здравоохранения Новосибирской области «Чановская ЦРБ», расположенного по адресу: Новосибирская область, Чановский район, Тебисский сельсовет, аул Тебис, кадастровый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номер земельного участка 54:27:000000:1919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ГКУ НСО «УКС»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с. Юрты Государственного бюджетного учреждения здравоохранения Новосибирской области «Тогучинская ЦРБ»», 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Новосибирская область, Тогучинский район, с. Юрты, ул. Бригадная, 28а, кадастровый номер земельного участка 54:24:055404:379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«Сибпро»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фельдшерско-акушерского пункта </w:t>
            </w:r>
            <w:r>
              <w:t xml:space="preserve">в с. Юрты Государственного бюджетного учреждения здравоохранения Новосибирской области «Тогучинская ЦРБ», расположенному по адресу: Новосибирская область, Тогучинский район, с. Юрты, ул. Бригадная, 28а, кадастровый номер земельного участка 54:24:055404:379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«Сибпро»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Секция 1.7 со встроенными помещениями общественного назначения, двухуровневой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подземной автостоянкой в осях 2-13/В-Е многоквартирного жилого дома переменной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этажности со встроенными помещениями общественного назначения, подземной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автостоянкой – II этап строительства многоквартирного жилого дома переменной этажности со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встроенными помещениями общественного назначения,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Новосибирская область, город Новосибирск, Ленинский район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кадастровый номер земельного участка: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54:35:064080:1322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«Управление Начальника Работ-58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Секция 1.7 со встроенными помещениями общественного назначения, двухуровневой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подземной автостоянкой в осях 2-13/В-Е многоквартирного жилого дома переменной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этажности со встроенными помещениями общественного назначения, подземной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автостоянкой – II этап строительства многоквартирного жилого дома переменной этажности со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встроенными помещениями общественного назначения,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Новосибирская область, город Новосибирск, Ленинский район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кадастровый номер земельного участка: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54:35:064080:1322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«СК-Инвест»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«Секции 1.4, 1.5, 1.6 со встроенными помещениями общественного назначения многоквартирного жило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го дома переменной этажности со встроенными помещениями общественного назначения, подземной автостоянкой – III этап строительства многоквартирного жилого дома переменной этажности со встроенными помещениями общественного назначения, подземной автостоянкой»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/>
                <w:sz w:val="24"/>
              </w:rPr>
              <w:t xml:space="preserve">Новосибирская область, город Новосибирск, Ленинский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/>
                <w:sz w:val="24"/>
              </w:rPr>
              <w:t xml:space="preserve">54:35:064080:1322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«СК-Инвест»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25.03.2025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«Секции 1.4, 1.5, 1.6 со встроенными помещениями общественного назначения многоквартирного жило</w:t>
            </w:r>
            <w:r>
              <w:rPr>
                <w:rFonts w:ascii="Times New Roman" w:hAnsi="Times New Roman"/>
                <w:b w:val="0"/>
                <w:bCs w:val="0"/>
                <w:sz w:val="24"/>
              </w:rPr>
              <w:t xml:space="preserve">го дома переменной этажности со встроенными помещениями общественного назначения, подземной автостоянкой – III этап строительства многоквартирного жилого дома переменной этажности со встроенными помещениями общественного назначения, подземной автостоянкой»</w:t>
            </w:r>
            <w:r>
              <w:rPr>
                <w:rFonts w:ascii="Times New Roman" w:hAnsi="Times New Roman"/>
                <w:b w:val="0"/>
                <w:bCs w:val="0"/>
                <w:sz w:val="24"/>
                <w:vertAlign w:val="baseli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расположенному по адресу: </w:t>
            </w:r>
            <w:r>
              <w:rPr>
                <w:rFonts w:ascii="Times New Roman" w:hAnsi="Times New Roman"/>
                <w:sz w:val="24"/>
              </w:rPr>
              <w:t xml:space="preserve">Новосибирская область, город Новосибирск, Ленинский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/>
                <w:sz w:val="24"/>
              </w:rPr>
              <w:t xml:space="preserve">54:35:064080:1322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«Управление Начальника Работ-58»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«Здание школы по ул. Центральной, 5 в с. Репьево Тогучинского района», расположенного по адресу: Новосибирская область, Тогучинский район, с. Репьево, ул. Центральная, д. 5, кадастровый номер земельного участка 54:24:032012:1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«Ликстрой»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«Строительство водопровода от сетей горводоканала до ст. Мочище» Станционный сельсовет (1этап)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,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асположенному по адресу: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овосибирская область, Новосибирский р-н, Начало трассы водопровода ПК0+00 – точка врезки в существующий водопровод МУП «Горводоканал» на земельном участке с кадастровым номером 54:19:112001:9609, конец трассы – ПК5+77,15 в полосе отвода автомобильной дорог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 «Новосибирск-Сокур»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4"/>
                <w:highlight w:val="non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Станционного сельсовета Новосибирского района Новосибирской области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«Строительство водопровода от сетей горводоканала до ст. Мочище» Станционный сельсовет (1этап)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»</w:t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, р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асположенному по адресу: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овосибирская область, Новосибирский р-н, Начало трассы водопровода ПК0+00 – точка врезки в существующий водопровод МУП «Горводоканал» на земельном участке с кадастровым номером 54:19:112001:9609, конец трассы – ПК5+77,15 в полосе отвода автомобильной дорог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и «Новосибирск-Сокур»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«Строй-Мастер»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 w:bidi="ru-RU"/>
              </w:rPr>
              <w:t xml:space="preserve">Производственно-складской комплекс ZAIGER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Новосибирский район, Толмачевский сельсовет, кадастровый номер земельного участка 54:19:034102:899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«ТД Мироград»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 w:bidi="ru-RU"/>
              </w:rPr>
              <w:t xml:space="preserve">Производственно-складской комплекс ZAIGER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bidi="ru-RU"/>
              </w:rPr>
              <w:t xml:space="preserve">Новосибирский район, Толмачевский сельсовет, кадастровый номер земельного участка 54:19:034102:899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Корпорация «СТРОЙБИЗНЕСГРУППА»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Реконструкция здания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одземн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 здание автостоянки для легковых автомобилей надземной закрытого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г. Новосибирск, ул. Галущака, д. 3/1, кадастровый номер земельного участка 54:35:032770:129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«КАЙМ-НСК»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Реконструкция здания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одземн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 здание автостоянки для легковых автомобилей надземной закрытого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</w:t>
            </w:r>
            <w:r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г. Новосибирск, ул. Галущака, д. 3/1, кадастровый номер земельного участка 54:35:032770:129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«КАЙМ-НСК»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</w:t>
            </w:r>
            <w:r>
              <w:t xml:space="preserve">Многоквартирный многоэтажный дом № 4 с объектами обслуживания жилой застройки во встроенных помещениях, автостоянка – V этап строительства многоквартирных многоэтажных домов с объектами обслуживания жилой застройки во встроенных помещениях, автостоянки», р</w:t>
            </w:r>
            <w:r>
              <w:t xml:space="preserve">асположенном по адресу: Новосибирская область, г. Новосибирск, Октябрьский район, кадастровые номера земельных участков 54:35:000000:45285, 54:35:072175:2717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СтройРегионСервис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Многоэтажная автостоянка открытого типа № 15 (по генплану) – X этап строительства многоэтажных жилых домов с помещениями общественного назначения и сооружений для инженерного обеспечения объекто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sz w:val="24"/>
              </w:rPr>
              <w:t xml:space="preserve">Ленинский район, кадастровый номер земельного участка 54:35:061231:28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ru-RU"/>
              </w:rPr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ДЛ мастер строительных и монтажных работ АО «СУ ТДСК» Тверитнев Евгений Ильич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ru-RU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ru-RU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Промышленная база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»,</w:t>
            </w: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 xml:space="preserve"> </w:t>
            </w:r>
            <w:r>
              <w:rPr>
                <w:rStyle w:val="864"/>
                <w:b w:val="0"/>
                <w:sz w:val="24"/>
                <w:u w:val="none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г. Новосибирск, Ленинский район</w:t>
            </w:r>
            <w:r>
              <w:rPr>
                <w:rFonts w:ascii="Times New Roman" w:hAnsi="Times New Roman" w:cs="Times New Roman"/>
                <w:sz w:val="24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 w:cs="Times New Roman"/>
                <w:sz w:val="24"/>
              </w:rPr>
              <w:t xml:space="preserve">54:35:061490:3094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ООО «Аймикс Сервис»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«Промышленная база»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>
              <w:rPr>
                <w:rStyle w:val="864"/>
                <w:b w:val="0"/>
                <w:bCs w:val="0"/>
                <w:sz w:val="24"/>
                <w:szCs w:val="24"/>
                <w:u w:val="none"/>
              </w:rPr>
              <w:t xml:space="preserve">расположенному по адресу: </w:t>
            </w:r>
            <w:r>
              <w:rPr>
                <w:rFonts w:ascii="Times New Roman" w:hAnsi="Times New Roman" w:cs="Times New Roman"/>
                <w:sz w:val="24"/>
              </w:rPr>
              <w:t xml:space="preserve">Новосибирская область, г. Новосибирск, Ленинский район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кадастровый номер земельного участка </w:t>
            </w:r>
            <w:r>
              <w:rPr>
                <w:rFonts w:ascii="Times New Roman" w:hAnsi="Times New Roman" w:cs="Times New Roman"/>
                <w:sz w:val="24"/>
              </w:rPr>
              <w:t xml:space="preserve">54:35:061490:3094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«СКИФ»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</w:rPr>
              <w:t xml:space="preserve">Реконструкция здания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одземн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автостоянк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под здание автостоянки для легковых автомобилей надземной закрытого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общественного назна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чения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г. Новосибирск, ул. Галущака, д. 3/1, кадастровый номер земельного участка 54:35:032770:129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«АИСТ»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28.03.2025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«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Здание фельдшерско-акушерского пункта в д. Воробьево Государственного бюджетного учреждения здравоохранения Новосибирской области «Колыванская ЦРБ»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Новосибирская область, Колыванский район, МО Новотыршинский сельсовет, д. Воробьево, ул. Садовская, 2Б, кадастровый номер земельного участка 54:10:021901:887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«ПРОФИСТРОЙ»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63" w:customStyle="1">
    <w:name w:val="Standard"/>
    <w:basedOn w:val="708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64" w:customStyle="1">
    <w:name w:val="Font Style81"/>
    <w:basedOn w:val="702"/>
    <w:qFormat/>
    <w:rPr>
      <w:rFonts w:ascii="Times New Roman" w:hAnsi="Times New Roman" w:cs="Times New Roman"/>
      <w:color w:val="000000"/>
      <w:sz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32</cp:revision>
  <dcterms:created xsi:type="dcterms:W3CDTF">2024-05-17T02:05:00Z</dcterms:created>
  <dcterms:modified xsi:type="dcterms:W3CDTF">2025-03-21T06:17:51Z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