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21.07.2025 по 25.07.2025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2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2-5 многоквартирного многоэтажного дома с подземной автостоянкой в осях 1-16, объектами обслуживания жилой застройки во встроенных и встроенно-пристроенных помещениях и трансформаторные подстанции – 1 этап строительства многоквартирного многоэтажног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дома с подземной автостоянкой, объектами обслуживания жилой застройки во встроенных и встроенно- пристроенных помещениях и трансформаторные подстанции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расположенном по адресу: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область, город Новосибирск, Заельцовский район, кадастровый номер земельного участка 54:35:000000:43384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Пономарев С.Е.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 (за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Сальникова Д.С.) (проект готов)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орпус № 1 (по генплану), корпус № 2 (по генплану), подземная автостоянка в осях 1/3-26/3_А/3-П/3, трансформаторная подстанция – I этап строительства многоквартирного жилого дома с помещениями общественного назначения, встроенно-пристроенной подземной автос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тоянкой, трансформаторной подстанцией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расположенном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Новосибирская область, город Новосибирск, Заельцовский район, кадастровый номер земельного участка 54:35:033335:277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«АКСИОМАГРУПП»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 ст. 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Колмогорова Е.К. (за Сальникова Д.С.) (проект готов)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ourier New" w:cs="Times New Roman"/>
                <w:b w:val="0"/>
                <w:bCs w:val="0"/>
                <w:color w:val="auto"/>
                <w:sz w:val="24"/>
                <w:szCs w:val="28"/>
              </w:rPr>
              <w:t xml:space="preserve">Реконструкция дома связи под многоквартирный жилой дом по адресу: Новосибирская область, г. Татарск, ул. Некрасова, д. 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Новосибирская область, г. Татарск, ул. Некрасова, д.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земельного участка: 54:37:010224:6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Дедков Владимир Павлович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 ст. 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Колмогорова Е.К. (за Галиуллину Е.Н.) (проект готов)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13:20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ourier New" w:cs="Times New Roman"/>
                <w:b w:val="0"/>
                <w:bCs w:val="0"/>
                <w:color w:val="auto"/>
                <w:sz w:val="24"/>
                <w:szCs w:val="28"/>
              </w:rPr>
              <w:t xml:space="preserve">Реконструкция дома связи под многоквартирный жилой дом по адресу: Новосибирская область, г. Татарск, ул. Некрасова, д. 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Новосибирская область, г. Татарск, ул. Некрасова, д.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земельного участка: 54:37:010224:6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Шабалдин Александр Анатольевич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 ст. 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 (проект готов)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ourier New" w:cs="Times New Roman"/>
                <w:b w:val="0"/>
                <w:bCs w:val="0"/>
                <w:color w:val="auto"/>
                <w:sz w:val="24"/>
                <w:szCs w:val="28"/>
              </w:rPr>
              <w:t xml:space="preserve">Реконструкция дома связи под многоквартирный жилой дом по адресу: Новосибирская область, г. Татарск, ул. Некрасова, д. 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Новосибирская область, г. Татарск, ул. Некрасова, д.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земельного участка: 54:37:010224:6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«КЕДР ПЛЮС»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 ст. 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 (проект готов)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автовокзала со строительством надстройки, пристроек, устройством посадочных платформ с навесом», расположенном по адресу: Новосибирск, Центральный район, Красный проспект, 4, кадастровый номер земельного участка 54:35:101580:10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 Константин Анатольевич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 ст. 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Колмогорова Е.К. (за Сальникова Д.С.) (проект готов)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Многоквартирный малоэтажный дом с помещениями общественного назначения, подземной автостоянкой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Заельцовский район, кадастровый номер земельного участка 54:35:000000:43085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СК «СЕРЕБРО»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 (за Сальникова Д.С.) (проект готов)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«Комплекс из трех многоквартирных жилых домов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в г. Татарске, Татарского района Новосибирской обл</w:t>
            </w:r>
            <w:r>
              <w:rPr>
                <w:sz w:val="24"/>
                <w:szCs w:val="24"/>
              </w:rPr>
              <w:t xml:space="preserve">асти, ул. Зеленая, д. 2/7», расположенном по адресу: Новосибирская область, Татарский муниципальный район, городское поселение город Татарск, город Татарск, ул. Зеленая, д. 2/7, кадастровый номер земельного участка 54:37:010110:160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«С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ТРОЙ-КОМФОРТ»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Многоквартирный многоэтажный жилой дом 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встроенными помещениями обслуживания жилой застройки, подземной автостоянкой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Новосибирская область г. Новосибирск, Кировский район, кадастровый номер </w:t>
              <w:br/>
              <w:t xml:space="preserve">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54:35:052395:162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СЗ «Синергия 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 (за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Сальникова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(проект готов)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«Многоэтажный гараж-стоянка на 300 мест» I-го этапа строительства объекта «Многоэтажный гараж-стоянка на 500 мест», расположенного по адресу: Новосибирская область, Новосибирский район, МО р.п. Краснообск, р.п. Краснообск, на земельном участке с кадастровым</w:t>
            </w:r>
            <w:r>
              <w:rPr>
                <w:sz w:val="24"/>
                <w:szCs w:val="24"/>
              </w:rPr>
              <w:t xml:space="preserve"> номером 54:19:180109:10657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ФСК «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Краснообскинвестстрой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5 ст. 9.5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Многоэтажный гараж-стоянка на 300 мест» I-го этапа строительства объекта «Многоэтажный гараж-стоянка на 500 мест», расположенного по адресу: Новосибирская область, Новосибирский район, МО р.п. Краснообск, р.п. Краснообск, на земельном участке с кадастровым</w:t>
            </w:r>
            <w:r>
              <w:rPr>
                <w:sz w:val="24"/>
                <w:szCs w:val="24"/>
              </w:rPr>
              <w:t xml:space="preserve"> номером 54:19:180109:10657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НПП «Технологии здоровья и Долголетия»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5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Многоэтажный гараж-стоянка на 300 мест» I-го этапа строительства объекта «Многоэтажный гараж-стоянка на 500 мест», расположенного по адресу: Новосибирская область, Новосибирский район, МО р.п. Краснообск, р.п. Краснообск, на земельном участке с кадастровым</w:t>
            </w:r>
            <w:r>
              <w:rPr>
                <w:sz w:val="24"/>
                <w:szCs w:val="24"/>
              </w:rPr>
              <w:t xml:space="preserve"> номером 54:19:180109:10657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УПАКСИБ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Многоэтажный гараж-стоянка на 300 мест» I-го этапа строительства объекта «Многоэтажный гараж-стоянка на 500 мест», расположенного по адресу: Новосибирская область, Новосибирский район, МО р.п. Краснообск, р.п. Краснообск, на земельном участке с кадастровым</w:t>
            </w:r>
            <w:r>
              <w:rPr>
                <w:sz w:val="24"/>
                <w:szCs w:val="24"/>
              </w:rPr>
              <w:t xml:space="preserve"> номером 54:19:180109:10657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Кинезио Шмидт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5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 (за Галиуллину Е.Н.)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Объекты (двухэтажное кирпичное здание, двухэтажное здание с кадастровым номером 54:35:051190:874), расположенных на земельном участке с кадастровым номером 54:35:051190:1106 по ул. Сибиряков-Гвардейцев, д. 54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руководитель технического департамента/департамента сервиса/службы вспомогательных работ ОАО «Новосибхолод» 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Марталлер А.В.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9.5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Объекты (двухэтажное кирпичное здание, двухэтажное здание с кадастровым номером 54:35:051190:874), расположенных на земельном участке с кадастровым номером 54:35:051190:1106 по ул. Сибиряков-Гвардейцев, д. 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руководитель технического департамента/департамента сервиса/службы вспомогательных работ ОАО «Новосибхолод» 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Марталлер А.В.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5 ст. 9.5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Колмогорова Е.К.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85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51</cp:revision>
  <dcterms:created xsi:type="dcterms:W3CDTF">2024-05-17T02:05:00Z</dcterms:created>
  <dcterms:modified xsi:type="dcterms:W3CDTF">2025-07-18T06:06:48Z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