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12.05.2025 по 16.05.2025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ногоквартирный многоэтажный жилой дом № 3 (по генплану) с объектами обслуживания жилой застройки во встроенных помещениях, с подземной автостоянкой –  III этап строительства многоквартирных жилых домов, в том числе с объектами обслуживания жилой застройки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во встроенных помещениях, с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Новосибирская область, г. Новосибирск, Октябрьский район, кадастровый номер земельного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54:35:071001:3299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«Весна»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ногоквартирный многоэтажный жилой дом № 3 (по генплану) с объектами обслуживания жилой застройки во встроенных помещениях, с подземной автостоянкой –  III этап строительства многоквартирных жилых домов, в том числе с объектами обслуживания жилой застройки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во встроенных помещениях, с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Новосибирская область, г. Новосибирск, Октябрьский район, кадастровый номер земельного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54:35:071001:3299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«Орион»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vertAlign w:val="baseline"/>
              </w:rPr>
            </w:pPr>
            <w:r>
              <w:t xml:space="preserve">«Здание», назначение: нежилое, площадь: 674,6 м</w:t>
            </w:r>
            <w:r>
              <w:rPr>
                <w:vertAlign w:val="superscript"/>
              </w:rPr>
              <w:t xml:space="preserve">2 </w:t>
            </w:r>
            <w:r>
              <w:rPr>
                <w:vertAlign w:val="baseline"/>
              </w:rPr>
              <w:t xml:space="preserve">, «Здание» назначение: нежилое, площадь: 1935,1 м</w:t>
            </w:r>
            <w:r>
              <w:rPr>
                <w:vertAlign w:val="superscript"/>
              </w:rPr>
              <w:t xml:space="preserve">2 </w:t>
            </w:r>
            <w:r>
              <w:rPr>
                <w:vertAlign w:val="baseline"/>
              </w:rPr>
              <w:t xml:space="preserve">, «Здание» назначение: нежилое, площадь: 506,3 м</w:t>
            </w:r>
            <w:r>
              <w:rPr>
                <w:vertAlign w:val="superscript"/>
              </w:rPr>
              <w:t xml:space="preserve">2 </w:t>
            </w:r>
            <w:r>
              <w:rPr>
                <w:vertAlign w:val="baseline"/>
              </w:rPr>
              <w:t xml:space="preserve">расположенных по адресу: Новосибирская область, г. Новосибирск, Ленинский район, ул. 2-я Станционная, 30а, корпус 8, кадастровый номер земельного участка 54:35:062110:123</w:t>
            </w:r>
            <w:r>
              <w:rPr>
                <w:vertAlign w:val="baseline"/>
              </w:rPr>
            </w:r>
            <w:r>
              <w:rPr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ИП Захаров Виталий Викторович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5 ст. 9.5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b w:val="0"/>
                <w:bCs w:val="0"/>
              </w:rPr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Склад с АБК на земельном участке с кадастровым номером 54:19:062501:3995 по адресу: Новосибирская область, Новосибирский район, Верх-Тулинский сельсовет</w:t>
            </w:r>
            <w:r>
              <w:rPr>
                <w:color w:val="auto"/>
                <w:highlight w:val="none"/>
              </w:rPr>
              <w:t xml:space="preserve">» 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р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асположенный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по адресу: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spacing w:val="-6"/>
                <w:highlight w:val="none"/>
              </w:rPr>
              <w:t xml:space="preserve">, кадастровый номер </w:t>
            </w:r>
            <w:r>
              <w:rPr>
                <w:color w:val="auto"/>
                <w:spacing w:val="-6"/>
                <w:highlight w:val="none"/>
              </w:rPr>
              <w:t xml:space="preserve">земельного участка 54:19:062501:399</w:t>
            </w:r>
            <w:r>
              <w:rPr>
                <w:color w:val="auto"/>
                <w:szCs w:val="22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szCs w:val="22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«СК ПРОЕКТ»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Склад с АБК на земельном участке с кадастровым номером 54:19:062501:3995 по адресу: Новосибирская область, Новосибирский район, Верх-Тулинский сельсовет</w:t>
            </w:r>
            <w:r>
              <w:rPr>
                <w:color w:val="auto"/>
                <w:highlight w:val="none"/>
              </w:rPr>
              <w:t xml:space="preserve">» 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р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асположенный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по адресу: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spacing w:val="-6"/>
                <w:highlight w:val="none"/>
              </w:rPr>
              <w:t xml:space="preserve">, кадастровый номер </w:t>
            </w:r>
            <w:r>
              <w:rPr>
                <w:color w:val="auto"/>
                <w:spacing w:val="-6"/>
                <w:highlight w:val="none"/>
              </w:rPr>
              <w:t xml:space="preserve">земельного участка 54:19:062501:399</w:t>
            </w:r>
            <w:r>
              <w:rPr>
                <w:color w:val="auto"/>
                <w:szCs w:val="22"/>
                <w:highlight w:val="none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СЗ «СТРОЙИНВЕСТТОРГ»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Малоэтажные многоквартирные жилые дома в пос. Садовый, Станционного сельсовета, Новосибирского района, Новосибирской области. 1 этап строительства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Новосибирская область, Новосибирский район, Станционный сельсовет, поселок Садовый, кадастровый номер земельного участка 54:19:112001:9860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«ФАСКОН МЕНЕДЖМЕНТ»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Малоэтажные многоквартирные жилые дома в пос. Садовый, Станционного сельсовета, Новосибирского района, Новосибирской области. 1 этап строительства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Новосибирская область, Новосибирский район, Станционный сельсовет, поселок Садовый, кадастровый номер земельного участка 54:19:112001:9860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«СИТИ КОНСТРАКШН»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ногоквартирный дом № 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рных домов, в том числе с объектами обслуживания жилой застройки во встроенных по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мещениях многоквартирно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го дома, автостоянками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«Брусника»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ногоквартирный дом № 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рных домов, в том числе с объектами обслуживания жилой застройки во встроенных по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мещениях многоквартирно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го дома, автостоянками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709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21</cp:revision>
  <dcterms:created xsi:type="dcterms:W3CDTF">2024-05-17T02:05:00Z</dcterms:created>
  <dcterms:modified xsi:type="dcterms:W3CDTF">2025-05-07T02:40:32Z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