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contextualSpacing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УВЕДОМЛЕНИЕ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1_634"/>
        <w:contextualSpacing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начале сбора замечаний и предложений по перечню нормативных правовых актов инспекции государственного строительного надзора Новосибирской области на соответствие их антимонопольному законодательству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1_634"/>
        <w:contextualSpacing w:val="0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firstLine="708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Инспекция государственного строительного надзора Новосибирской области уведомляет о проведении публичных консультаций по перечню нормативных правовых актов на соответствие их антимонопольному законодательству.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firstLine="708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Предложения и замечания заинтересованных лиц принимаются по адресу: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ул. Ленина, 21/1, корп.2, г. Новосибирск, 630004, а также по адресу электронной почты: </w:t>
      </w:r>
      <w:hyperlink r:id="rId8" w:tooltip="mailto:gsn@nso.ru" w:history="1">
        <w:r>
          <w:rPr>
            <w:sz w:val="27"/>
            <w:szCs w:val="27"/>
          </w:rPr>
          <w:t xml:space="preserve">gsn@nso.ru</w:t>
        </w:r>
      </w:hyperlink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firstLine="708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Сроки приема предложений и замечаний: с </w:t>
      </w:r>
      <w:r>
        <w:rPr>
          <w:sz w:val="27"/>
          <w:szCs w:val="27"/>
        </w:rPr>
        <w:t xml:space="preserve">13</w:t>
      </w:r>
      <w:r>
        <w:rPr>
          <w:sz w:val="27"/>
          <w:szCs w:val="27"/>
        </w:rPr>
        <w:t xml:space="preserve">.01.202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по 28.01.202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firstLine="708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Место размещения уведомления и реестра нормативных правовых актов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информационно-телекоммуникационной сети «</w:t>
      </w:r>
      <w:r>
        <w:rPr>
          <w:rFonts w:ascii="Times New Roman" w:hAnsi="Times New Roman" w:cs="Times New Roman" w:eastAsiaTheme="minorEastAsia"/>
          <w:sz w:val="27"/>
          <w:szCs w:val="27"/>
          <w:lang w:eastAsia="ru-RU"/>
        </w:rPr>
        <w:t xml:space="preserve">Интернет» </w:t>
      </w:r>
      <w:hyperlink r:id="rId9" w:tooltip="https://gsn.nso.ru/page/375" w:history="1">
        <w:r>
          <w:rPr>
            <w:rFonts w:ascii="Times New Roman" w:hAnsi="Times New Roman" w:cs="Times New Roman" w:eastAsiaTheme="minorEastAsia"/>
            <w:sz w:val="27"/>
            <w:szCs w:val="27"/>
            <w:lang w:eastAsia="ru-RU"/>
          </w:rPr>
          <w:t xml:space="preserve">https://gsn.nso.ru/page/375</w:t>
        </w:r>
      </w:hyperlink>
      <w:r>
        <w:rPr>
          <w:rFonts w:ascii="Times New Roman" w:hAnsi="Times New Roman" w:cs="Times New Roman" w:eastAsiaTheme="minorEastAsia"/>
          <w:sz w:val="27"/>
          <w:szCs w:val="27"/>
          <w:lang w:eastAsia="ru-RU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_634"/>
        <w:contextualSpacing w:val="0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left="0" w:right="0" w:firstLine="709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К уведомлению прилагаются: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left="0" w:right="0" w:firstLine="709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1. Информация о замечаниях и предложениях согласно приложению </w:t>
        <w:br/>
        <w:t xml:space="preserve">1 к настоящему уведомлению.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contextualSpacing w:val="0"/>
        <w:ind w:left="0" w:right="0" w:firstLine="709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2. Перечень нормативных правовых актов инспекции государственного строительного надзора Новосибирской области за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год, содержащий реквизиты правовых актов и текст, с приложением текстов таких актов, за исключением актов, содержащих сведения, относящиеся к охраняемой законом тайне.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jc w:val="both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Контактные лица: 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 w:eastAsiaTheme="minorEastAsia"/>
          <w:color w:val="auto"/>
          <w:sz w:val="27"/>
          <w:szCs w:val="27"/>
          <w:lang w:val="ru-RU" w:eastAsia="ru-RU" w:bidi="ar-SA"/>
        </w:rPr>
        <w:t xml:space="preserve">Михайлова К.В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 – консультант-юрист отдела судебно-правовой работы инспекции 296 58 81 (доб. 70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). 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48"/>
        <w:tblW w:w="957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1_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 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1_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 уведомлению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о начале сбора замечаний и предложений по перечню нормативных правовых актов инспекции государственного строительного надзора Новосибирской области на соответствие их антимонопольному законодательству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48"/>
        <w:tblW w:w="957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5"/>
        <w:gridCol w:w="4905"/>
      </w:tblGrid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ФИО гражданина или наименование организации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Сфера деятельности гражданина или организации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Номер телефона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электронной почты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5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jc w:val="center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 xml:space="preserve">Общие сведения о нормативном правовом акте </w:t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48"/>
        <w:tblW w:w="957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7"/>
        <w:gridCol w:w="4903"/>
      </w:tblGrid>
      <w:tr>
        <w:tblPrEx/>
        <w:trPr/>
        <w:tc>
          <w:tcPr>
            <w:tcW w:w="4667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Область правового регулирования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3" w:type="dxa"/>
            <w:textDirection w:val="lrTb"/>
            <w:noWrap w:val="false"/>
          </w:tcPr>
          <w:p>
            <w:pPr>
              <w:pStyle w:val="1_634"/>
              <w:jc w:val="center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4667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и наименование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903" w:type="dxa"/>
            <w:textDirection w:val="lrTb"/>
            <w:noWrap w:val="false"/>
          </w:tcPr>
          <w:p>
            <w:pPr>
              <w:pStyle w:val="1_634"/>
              <w:jc w:val="center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1_634"/>
        <w:jc w:val="center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48"/>
        <w:tblW w:w="957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pStyle w:val="1_634"/>
              <w:jc w:val="center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(отсутствие) в нормативном правовом акте положений, противоречащих антимонопольному законодательству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pStyle w:val="1_634"/>
              <w:jc w:val="center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Предложения и замечания по нормативному правовому акту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pStyle w:val="1_634"/>
              <w:spacing w:line="35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634"/>
        <w:spacing w:line="355" w:lineRule="exac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lang w:eastAsia="ru-RU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  <w:t xml:space="preserve">Перечень нормативных правовых актов </w:t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7"/>
          <w:szCs w:val="27"/>
          <w:highlight w:val="none"/>
          <w:lang w:eastAsia="ru-RU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  <w:t xml:space="preserve">инспекции государственного строительного надзора </w:t>
      </w: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  <w:t xml:space="preserve">Новосибирской области за 2024 год</w:t>
      </w: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r>
      <w:r>
        <w:rPr>
          <w:rFonts w:ascii="Times New Roman" w:hAnsi="Times New Roman" w:cs="Times New Roman" w:eastAsiaTheme="minorEastAsia"/>
          <w:b/>
          <w:sz w:val="27"/>
          <w:szCs w:val="27"/>
          <w:lang w:eastAsia="ru-RU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 w:eastAsiaTheme="minorEastAsia"/>
          <w:sz w:val="27"/>
          <w:szCs w:val="27"/>
          <w:lang w:eastAsia="ru-RU"/>
        </w:rPr>
      </w:pPr>
      <w:r>
        <w:rPr>
          <w:rFonts w:ascii="Times New Roman" w:hAnsi="Times New Roman" w:cs="Times New Roman" w:eastAsiaTheme="minorEastAsia"/>
          <w:sz w:val="27"/>
          <w:szCs w:val="27"/>
          <w:lang w:eastAsia="ru-RU"/>
        </w:rPr>
      </w:r>
      <w:r>
        <w:rPr>
          <w:rFonts w:ascii="Times New Roman" w:hAnsi="Times New Roman" w:cs="Times New Roman" w:eastAsiaTheme="minorEastAsia"/>
          <w:sz w:val="27"/>
          <w:szCs w:val="27"/>
          <w:lang w:eastAsia="ru-RU"/>
        </w:rPr>
      </w:r>
      <w:r>
        <w:rPr>
          <w:rFonts w:ascii="Times New Roman" w:hAnsi="Times New Roman" w:cs="Times New Roman" w:eastAsiaTheme="minorEastAsia"/>
          <w:sz w:val="27"/>
          <w:szCs w:val="27"/>
          <w:lang w:eastAsia="ru-RU"/>
        </w:rPr>
      </w:r>
    </w:p>
    <w:tbl>
      <w:tblPr>
        <w:tblStyle w:val="48"/>
        <w:tblW w:w="9262" w:type="dxa"/>
        <w:tblInd w:w="-1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26"/>
        <w:gridCol w:w="1431"/>
        <w:gridCol w:w="6605"/>
      </w:tblGrid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  <w:t xml:space="preserve">Номер</w:t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  <w:t xml:space="preserve">Название</w:t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  <w:t xml:space="preserve">нормативного правового акта</w:t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b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63"/>
        </w:trPr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09.01.2024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Стройнадзора Новосибирской области от 01.11.2023 № 7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инспекции государственного строительного надзора Новосибирской области от 01.06.2016 № 19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признании утратившими силу приказов инспекции государственного строительного надзора Новосибирской области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12.04.2024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изменений в приказ 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инспекции государственного строительного надзора Новосибирской области</w:t>
            </w:r>
            <w:r/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 от 29.10.2018 № 7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изменений в приказ Стройнадзора Новосибирской области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29.10.2018 № 7</w:t>
            </w:r>
            <w:r/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auto"/>
                <w:sz w:val="27"/>
                <w:szCs w:val="27"/>
                <w:lang w:eastAsia="ru-RU"/>
              </w:rPr>
              <w:t xml:space="preserve">6-НПА</w:t>
            </w:r>
            <w:r>
              <w:rPr>
                <w:rFonts w:ascii="Times New Roman" w:hAnsi="Times New Roman" w:eastAsia="Times New Roman" w:cs="Times New Roman" w:eastAsiaTheme="minorEastAsia"/>
                <w:color w:val="auto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 w:eastAsiaTheme="minorEastAsia"/>
                <w:color w:val="auto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</w:rPr>
              <w:t xml:space="preserve">28.06.2024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изменений в приказ Стройнадзора Новосибирской области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 от 03.07.2023 № 3</w:t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7"/>
                <w:szCs w:val="27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7-НПА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06.12.2024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инспекции государственного строительного надзора Новосибирской области от 27.09.2023 № 6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8-НПА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06.12.2024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изменения в приказ инспекции государственного строительного надзора Новосибирской области от 06.10.2022 № 13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9-НПА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25.12.2024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инспекции государственного строительного надзора Новосибирской области от 09.09.2020 № 5</w:t>
            </w:r>
            <w:r/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10-НПА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25.12.2024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изменения в приказ инспекции государственного строительного надзора Новосибирской области от 01.06.2016 № 19</w:t>
            </w:r>
            <w:r/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11-НПА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25.12.2024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инспекции государственного строительного надзора Новосибирской области от 16.03.2016 № 3</w:t>
            </w:r>
            <w:r/>
          </w:p>
        </w:tc>
      </w:tr>
      <w:tr>
        <w:tblPrEx/>
        <w:trPr/>
        <w:tc>
          <w:tcPr>
            <w:tcW w:w="122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12-НПА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25.12.2024</w:t>
            </w: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</w:r>
          </w:p>
        </w:tc>
        <w:tc>
          <w:tcPr>
            <w:tcW w:w="6605" w:type="dxa"/>
            <w:textDirection w:val="lrTb"/>
            <w:noWrap w:val="false"/>
          </w:tcPr>
          <w:p>
            <w:pPr>
              <w:pStyle w:val="617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sz w:val="27"/>
                <w:szCs w:val="27"/>
                <w:lang w:eastAsia="ru-RU"/>
              </w:rPr>
              <w:t xml:space="preserve">О внесении изменений в приказ инспекции государственного строительного надзора Новосибирской области от 29.10.2018 № 7</w:t>
            </w:r>
            <w:r/>
          </w:p>
        </w:tc>
      </w:tr>
    </w:tbl>
    <w:p>
      <w:pPr>
        <w:pStyle w:val="6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spacing w:line="355" w:lineRule="exact"/>
        <w:rPr>
          <w:sz w:val="27"/>
          <w:szCs w:val="27"/>
        </w:rPr>
      </w:pPr>
      <w:r/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Стиль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gsn@nso.ru" TargetMode="External"/><Relationship Id="rId9" Type="http://schemas.openxmlformats.org/officeDocument/2006/relationships/hyperlink" Target="https://gsn.nso.ru/page/3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kek@NSO.LOC</cp:lastModifiedBy>
  <cp:revision>1</cp:revision>
  <dcterms:modified xsi:type="dcterms:W3CDTF">2025-01-09T06:17:08Z</dcterms:modified>
</cp:coreProperties>
</file>