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word/charts/chart2.xml" ContentType="application/vnd.openxmlformats-officedocument.drawingml.chart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885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219"/>
        <w:gridCol w:w="5812"/>
      </w:tblGrid>
      <w:tr>
        <w:tblPrEx/>
        <w:trPr/>
        <w:tc>
          <w:tcPr>
            <w:tcW w:w="42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УТВЕРЖДЕНА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приказом инспекции государственного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строительного надзора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 w:themeFill="background1"/>
              </w:rPr>
              <w:t xml:space="preserve">от 17.12.2024 № 72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</w:tc>
      </w:tr>
    </w:tbl>
    <w:p>
      <w:pPr>
        <w:jc w:val="center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707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Программа про</w:t>
      </w:r>
      <w:r>
        <w:rPr>
          <w:rFonts w:ascii="Times New Roman" w:hAnsi="Times New Roman" w:cs="Times New Roman"/>
          <w:color w:val="000000" w:themeColor="text1"/>
        </w:rPr>
        <w:t xml:space="preserve">филактики рисков причинения вреда (ущерба) охраняемым законом ценностям в рамках осуществления инспекцией государственного строительного надзора Новосибирской области регионального государственного строительного надзора на территории Новосибирской области </w:t>
      </w:r>
      <w:r>
        <w:rPr>
          <w:rFonts w:ascii="Times New Roman" w:hAnsi="Times New Roman" w:cs="Times New Roman"/>
          <w:color w:val="000000" w:themeColor="text1"/>
          <w:shd w:val="clear" w:color="auto" w:fill="ffffff" w:themeFill="background1"/>
        </w:rPr>
        <w:t xml:space="preserve">на 2025 год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ПАСПОРТ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0" w:type="auto"/>
        <w:tblInd w:w="-80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126"/>
        <w:gridCol w:w="7939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pStyle w:val="707"/>
              <w:jc w:val="both"/>
              <w:spacing w:before="0" w:line="240" w:lineRule="auto"/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  <w:t xml:space="preserve">Программа профилактики рисков причинения вреда (ущерба) о</w:t>
            </w: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  <w:t xml:space="preserve">храняемым законом ценностям в рамках осуществления инспекцией государственного строительного надзора Новосибирской области регионального государственного строительного надзора на территории Новосибирской области на 2025 год (далее – программа профилактики)</w:t>
            </w: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</w:r>
            <w:r>
              <w:rPr>
                <w:rFonts w:ascii="Times New Roman" w:hAnsi="Times New Roman" w:cs="Times New Roman" w:eastAsiaTheme="minorHAnsi"/>
                <w:b w:val="0"/>
                <w:bCs w:val="0"/>
                <w:color w:val="auto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Правовые основания разработки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</w:t>
            </w:r>
            <w:r>
              <w:rPr>
                <w:rFonts w:ascii="Times New Roman" w:hAnsi="Times New Roman" w:cs="Times New Roman"/>
                <w:sz w:val="1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31.07.2020 № 248-ФЗ «О государственном контроле (надзоре) и муниципальном контроле в Российской Федерации» (далее – Федеральный закон № 248-ФЗ);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Правительства РФ от 25.06.2021 № 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«Об 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Правительства Новосибирской области от 26.10.2021 № 435-п «О регионал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ьном государственном строительном надзоре на территории Новосибирской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инспекция государственного строительного надзора Новосибирской области (далее – инспекция)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программы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стимулирование добросовестного соблюдения 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язательных требований всеми контролируемыми лицами;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устранение условий, причин и факторов, способных привести к нарушению обязательных требований и (или) причинению вреда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(ущерба) охраняемым законом ценностям;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создание условий для доведения обязательных требований до контролируемых лиц, повышение информированности о способах их соблюдения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Задачи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выявление факторов риска причинения вреда охраняемым законом ценностям, причин и условий, способствующ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их нарушению обязательных требований, установленных законодательством Российской Федерации;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создание условий для изменения ценностного отношения контролируемых лиц к добросовестному поведению в сфере обеспечения безопасности, формирования позитивной отве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тственности за свои действия (бездействие), поддержания мотивации в данной сфере;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формирование единообразного понимания установленных обязательных требований у должностных лиц инспекции и контролируемых лиц;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уровня правовой грамотности контро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лируемых лиц, в том числе путем обеспечения доступности информации об обязательных требованиях и необходимых мерах по их исполнению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профилактических мероприятий,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сроки (периодичность) их проведения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профилактических мероприятий, сроки (п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ериодичность) их проведения приведены в приложении 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Источники финансирования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программы профилактики осуществляется в рамках текущего финансирования деятельности инспекции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Ожидаемые конечные результаты реализации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снижение рисков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ичинения вреда охраняемым законом ценностям;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уровня правовой грамотности контролируемых лиц;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уровня информированности контролируемых лиц об обязательных требованиях в сфере строительства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разработке программы профилактики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93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Проект программы профилактики рассмотрен общественным советом при инспекции государственного строительного надзора Новосибирской области и признан соответствующим требованиям зако</w:t>
            </w:r>
            <w:r>
              <w:rPr>
                <w:rFonts w:ascii="Times New Roman CYR" w:hAnsi="Times New Roman CYR" w:cs="Times New Roman CYR"/>
                <w:sz w:val="28"/>
                <w:szCs w:val="28"/>
                <w:highlight w:val="white"/>
              </w:rPr>
              <w:t xml:space="preserve">нодательства Российской Федерации (протокол </w:t>
            </w:r>
            <w:r>
              <w:rPr>
                <w:rFonts w:ascii="Times New Roman CYR" w:hAnsi="Times New Roman CYR" w:cs="Times New Roman CYR"/>
                <w:sz w:val="28"/>
                <w:szCs w:val="28"/>
                <w:highlight w:val="white"/>
              </w:rPr>
              <w:t xml:space="preserve">от</w:t>
            </w:r>
            <w:r>
              <w:rPr>
                <w:rFonts w:ascii="Times New Roman CYR" w:hAnsi="Times New Roman CYR" w:cs="Times New Roman CYR"/>
                <w:sz w:val="28"/>
                <w:szCs w:val="28"/>
                <w:highlight w:val="white"/>
              </w:rPr>
              <w:t xml:space="preserve"> </w:t>
            </w:r>
            <w:r>
              <w:rPr>
                <w:rFonts w:ascii="Times New Roman CYR" w:hAnsi="Times New Roman CYR" w:cs="Times New Roman CYR"/>
                <w:sz w:val="28"/>
                <w:szCs w:val="28"/>
                <w:highlight w:val="white"/>
              </w:rPr>
              <w:t xml:space="preserve">21.11.2024</w:t>
            </w:r>
            <w:r>
              <w:rPr>
                <w:rFonts w:ascii="Times New Roman CYR" w:hAnsi="Times New Roman CYR" w:cs="Times New Roman CYR"/>
                <w:sz w:val="28"/>
                <w:szCs w:val="28"/>
                <w:highlight w:val="white"/>
              </w:rPr>
              <w:t xml:space="preserve"> № 2).</w:t>
            </w:r>
            <w:r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white"/>
              </w:rPr>
            </w:r>
          </w:p>
        </w:tc>
      </w:tr>
    </w:tbl>
    <w:p>
      <w:pPr>
        <w:pStyle w:val="707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rPr>
          <w:sz w:val="6"/>
        </w:rPr>
      </w:pPr>
      <w:r>
        <w:rPr>
          <w:sz w:val="6"/>
        </w:rPr>
      </w:r>
      <w:r>
        <w:rPr>
          <w:sz w:val="6"/>
        </w:rPr>
      </w:r>
      <w:r>
        <w:rPr>
          <w:sz w:val="6"/>
        </w:rPr>
      </w:r>
    </w:p>
    <w:p>
      <w:pPr>
        <w:pStyle w:val="707"/>
        <w:jc w:val="center"/>
        <w:spacing w:before="0" w:line="240" w:lineRule="auto"/>
        <w:rPr>
          <w:rFonts w:ascii="Times New Roman" w:hAnsi="Times New Roman" w:cs="Times New Roman"/>
          <w:color w:val="000000" w:themeColor="text1"/>
          <w:sz w:val="8"/>
        </w:rPr>
      </w:pPr>
      <w:r>
        <w:rPr>
          <w:rFonts w:ascii="Times New Roman" w:hAnsi="Times New Roman" w:cs="Times New Roman"/>
          <w:color w:val="000000" w:themeColor="text1"/>
          <w:sz w:val="8"/>
        </w:rPr>
      </w:r>
      <w:r>
        <w:rPr>
          <w:rFonts w:ascii="Times New Roman" w:hAnsi="Times New Roman" w:cs="Times New Roman"/>
          <w:color w:val="000000" w:themeColor="text1"/>
          <w:sz w:val="8"/>
        </w:rPr>
      </w:r>
      <w:r>
        <w:rPr>
          <w:rFonts w:ascii="Times New Roman" w:hAnsi="Times New Roman" w:cs="Times New Roman"/>
          <w:color w:val="000000" w:themeColor="text1"/>
          <w:sz w:val="8"/>
        </w:rPr>
      </w:r>
    </w:p>
    <w:p>
      <w:pPr>
        <w:pStyle w:val="707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Раздел 1. Анализ текущего состояния осуществления регионального государственного строительного надзора, описание текущего развития профилактической деятельности инспекции, характеристика проблем, на решение которых направлена программа профилактики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r/>
      <w:r/>
    </w:p>
    <w:p>
      <w:pPr>
        <w:pStyle w:val="884"/>
        <w:numPr>
          <w:ilvl w:val="1"/>
          <w:numId w:val="13"/>
        </w:numPr>
        <w:jc w:val="both"/>
        <w:spacing w:after="0" w:line="240" w:lineRule="auto"/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  <w:t xml:space="preserve">Описан</w:t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  <w:t xml:space="preserve">ие видов и типов поднадзорных объектов (субъектов)</w:t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</w:p>
    <w:p>
      <w:pPr>
        <w:pStyle w:val="884"/>
        <w:ind w:left="141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Положением об инспекции государственного строительного надзора Новосибирской области, утвержденным постановлением Правительства Новосибирской области от 18.10.2016 № 342-п, инспекция госу</w:t>
      </w:r>
      <w:r>
        <w:rPr>
          <w:rFonts w:ascii="Times New Roman" w:hAnsi="Times New Roman" w:cs="Times New Roman"/>
          <w:sz w:val="28"/>
          <w:szCs w:val="28"/>
        </w:rPr>
        <w:t xml:space="preserve">дарственного строительного надзора Новосибирской области является областным исполнительным органом Новосибирской области, уполномоченным на осуществление регионального государственного строительного надзора в случаях, предусмотренных Градостроительным коде</w:t>
      </w:r>
      <w:r>
        <w:rPr>
          <w:rFonts w:ascii="Times New Roman" w:hAnsi="Times New Roman" w:cs="Times New Roman"/>
          <w:sz w:val="28"/>
          <w:szCs w:val="28"/>
        </w:rPr>
        <w:t xml:space="preserve">ксом Российской Федерации (далее –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Государственный строительный надзор в соответствии с частью 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осуществляется: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при строительстве объектов капитального строительства, проектная документация которых подлежит экспертизе в соответствии со статьей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 РФ, за исключением случая, предусмотренного частью 3.3 статьи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при реконструкции объектов капитального </w:t>
      </w:r>
      <w:r>
        <w:rPr>
          <w:rFonts w:ascii="Times New Roman" w:hAnsi="Times New Roman" w:cs="Times New Roman"/>
          <w:sz w:val="28"/>
          <w:szCs w:val="28"/>
        </w:rPr>
        <w:t xml:space="preserve">строительства, в том числе при проведении работ по сохранению объектов культурного наследия, затрагивающих конструктивные и другие характеристики надежности и безопасности таких объектов, если проектная документация на осуществление реконструкции объектов </w:t>
      </w:r>
      <w:r>
        <w:rPr>
          <w:rFonts w:ascii="Times New Roman" w:hAnsi="Times New Roman" w:cs="Times New Roman"/>
          <w:sz w:val="28"/>
          <w:szCs w:val="28"/>
        </w:rPr>
        <w:t xml:space="preserve">капитального строительства, в том числе указанных работ по сохранению объектов культурного наследия, подлежит экспертизе в соответствии со статьей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за исключением случая, предусмотренного частью 3.3</w:t>
      </w:r>
      <w:r>
        <w:rPr>
          <w:rFonts w:ascii="Times New Roman" w:hAnsi="Times New Roman" w:cs="Times New Roman"/>
          <w:sz w:val="28"/>
          <w:szCs w:val="28"/>
        </w:rPr>
        <w:t xml:space="preserve"> статьи 49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части 2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за</w:t>
      </w:r>
      <w:r>
        <w:rPr>
          <w:rFonts w:ascii="Times New Roman" w:hAnsi="Times New Roman" w:cs="Times New Roman"/>
          <w:sz w:val="28"/>
          <w:szCs w:val="28"/>
        </w:rPr>
        <w:t xml:space="preserve">конодатель привел основания, указанные в Федеральном законе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 </w:t>
      </w:r>
      <w:r>
        <w:rPr>
          <w:rFonts w:ascii="Times New Roman" w:hAnsi="Times New Roman" w:cs="Times New Roman"/>
          <w:sz w:val="28"/>
          <w:szCs w:val="28"/>
        </w:rPr>
        <w:t xml:space="preserve">248-ФЗ, при наличии которых осуществляется государственный строительный надзор в отношении объектов, не указанных в части 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01.07.2024 инспекция осуществляет р</w:t>
      </w:r>
      <w:r>
        <w:rPr>
          <w:rFonts w:ascii="Times New Roman" w:hAnsi="Times New Roman" w:cs="Times New Roman"/>
          <w:sz w:val="28"/>
          <w:szCs w:val="28"/>
        </w:rPr>
        <w:t xml:space="preserve">егиональный государственный строительный надзор в отношении 1021 объекта капитального строительства и реконструкции, в том числе: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- 486 многоквартирных жилых домов;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- 34 объекта учебно-воспитательного назначения;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- 31 объе</w:t>
      </w:r>
      <w:r>
        <w:rPr>
          <w:rFonts w:ascii="Times New Roman" w:hAnsi="Times New Roman" w:cs="Times New Roman"/>
          <w:sz w:val="28"/>
          <w:szCs w:val="28"/>
        </w:rPr>
        <w:t xml:space="preserve">кт здр</w:t>
      </w:r>
      <w:r>
        <w:rPr>
          <w:rFonts w:ascii="Times New Roman" w:hAnsi="Times New Roman" w:cs="Times New Roman"/>
          <w:sz w:val="28"/>
          <w:szCs w:val="28"/>
        </w:rPr>
        <w:t xml:space="preserve">авоохранения и социального</w:t>
      </w:r>
      <w:r>
        <w:rPr>
          <w:rFonts w:ascii="Times New Roman" w:hAnsi="Times New Roman" w:cs="Times New Roman"/>
          <w:sz w:val="28"/>
          <w:szCs w:val="28"/>
        </w:rPr>
        <w:t xml:space="preserve"> обслуживания,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- 32 объекта для культурно-досуговой деятельности населения;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- 28 гостиниц;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 35 зданий общественного и административного назначения;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- 32 здания торговли и общественного питания;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- 104 здания и сооружения производственного и складского </w:t>
      </w:r>
      <w:r>
        <w:rPr>
          <w:rFonts w:ascii="Times New Roman" w:hAnsi="Times New Roman" w:cs="Times New Roman"/>
          <w:sz w:val="28"/>
          <w:szCs w:val="28"/>
        </w:rPr>
        <w:t xml:space="preserve">назначения;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- 34 объекта инженерного обеспечения и связи, из них 14 скважин и водозаборов;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- 30 объектов транспортной инфраструктуры, в том числе 29 подземных и надземных открытых автостоянок и гаражных комплексов;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- 30 объектов энергетики;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- 92 </w:t>
      </w:r>
      <w:r>
        <w:rPr>
          <w:rFonts w:ascii="Times New Roman" w:hAnsi="Times New Roman" w:cs="Times New Roman"/>
          <w:sz w:val="28"/>
          <w:szCs w:val="28"/>
        </w:rPr>
        <w:t xml:space="preserve">линейных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объекта, в том числе: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 газопровод;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33 объекта сетей водопровода и канализации;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44 автодороги, общей протяженностью 48,376 км;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14 автомобильных и пешеходных мостов;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- 53 прочих объекта.</w:t>
      </w:r>
      <w:r>
        <w:rPr>
          <w:rFonts w:ascii="Times New Roman" w:hAnsi="Times New Roman" w:cs="Times New Roman"/>
          <w:bCs/>
          <w:iCs/>
          <w:sz w:val="28"/>
          <w:szCs w:val="28"/>
        </w:rPr>
      </w:r>
      <w:r>
        <w:rPr>
          <w:rFonts w:ascii="Times New Roman" w:hAnsi="Times New Roman" w:cs="Times New Roman"/>
          <w:bCs/>
          <w:iCs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 п. 83 Положения о региональном государственном строительном надзоре на территории Новосибирской области, утвержденным постановлением Правительства Новосибирской области от 26.10.2021 № 435-п, при осуществлении регионального государственног</w:t>
      </w:r>
      <w:r>
        <w:rPr>
          <w:rFonts w:ascii="Times New Roman" w:hAnsi="Times New Roman"/>
          <w:sz w:val="28"/>
          <w:szCs w:val="28"/>
          <w:lang w:eastAsia="ru-RU"/>
        </w:rPr>
        <w:t xml:space="preserve">о строительного надзора применяется система оценки и управления рисками причинения вреда (ущерба) охраняемым законом ценностям, определяющая выбор проводимых инспекцией профилактических мероприятий, их содержание, интенсивность и результаты.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Для целей упра</w:t>
      </w:r>
      <w:r>
        <w:rPr>
          <w:rFonts w:ascii="Times New Roman" w:hAnsi="Times New Roman"/>
          <w:sz w:val="28"/>
          <w:szCs w:val="28"/>
          <w:lang w:eastAsia="ru-RU"/>
        </w:rPr>
        <w:t xml:space="preserve">вления рисками причинения вреда (ущерба) при осуществлении регионального государственного строительного надзора инспекция относит объекты контроля к одной из следующих категорий риска причинения вреда (ущерба) (далее – категории риска):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высокий риск</w:t>
      </w:r>
      <w:r>
        <w:rPr>
          <w:rFonts w:ascii="Times New Roman" w:hAnsi="Times New Roman"/>
          <w:sz w:val="28"/>
          <w:szCs w:val="28"/>
          <w:lang w:eastAsia="ru-RU"/>
        </w:rPr>
        <w:t xml:space="preserve"> – о</w:t>
      </w:r>
      <w:r>
        <w:rPr>
          <w:rFonts w:ascii="Times New Roman" w:hAnsi="Times New Roman"/>
          <w:sz w:val="28"/>
          <w:szCs w:val="28"/>
          <w:lang w:eastAsia="ru-RU"/>
        </w:rPr>
        <w:t xml:space="preserve">бщественные здания и сооружения, многоквартирные жилые дома, путепроводы, тоннели, мосты и эстакады, а также объекты капитального строительства с пролетом от 20 до 100 метров;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значительный риск</w:t>
      </w:r>
      <w:r>
        <w:rPr>
          <w:rFonts w:ascii="Times New Roman" w:hAnsi="Times New Roman"/>
          <w:sz w:val="28"/>
          <w:szCs w:val="28"/>
          <w:lang w:eastAsia="ru-RU"/>
        </w:rPr>
        <w:t xml:space="preserve"> – производственные здания;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низкий риск</w:t>
      </w:r>
      <w:r>
        <w:rPr>
          <w:rFonts w:ascii="Times New Roman" w:hAnsi="Times New Roman"/>
          <w:sz w:val="28"/>
          <w:szCs w:val="28"/>
          <w:lang w:eastAsia="ru-RU"/>
        </w:rPr>
        <w:t xml:space="preserve"> – объекты капитального строительства, не указанные в пунктах 1 и 2.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Отнесение объектов регионального государственного строительного надзора к определенной категории риска осуществляется приказом инспекции после получения извещения о начале строительства (</w:t>
      </w:r>
      <w:r>
        <w:rPr>
          <w:rFonts w:ascii="Times New Roman" w:hAnsi="Times New Roman"/>
          <w:sz w:val="28"/>
          <w:szCs w:val="28"/>
          <w:lang w:eastAsia="ru-RU"/>
        </w:rPr>
        <w:t xml:space="preserve">реконструкции) объекта капитального строительства.</w:t>
      </w:r>
      <w:r>
        <w:rPr>
          <w:rFonts w:ascii="Times New Roman" w:hAnsi="Times New Roman"/>
          <w:sz w:val="28"/>
          <w:szCs w:val="28"/>
          <w:lang w:eastAsia="ru-RU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Распределение объектов государственного строительного надзора                         по категориям риска по состоянию на 01.07.2024 приведено на рисунке 1.</w:t>
      </w:r>
      <w:r>
        <w:rPr>
          <w:rFonts w:ascii="Times New Roman" w:hAnsi="Times New Roman" w:cs="Times New Roman"/>
          <w:iCs/>
          <w:sz w:val="28"/>
          <w:szCs w:val="28"/>
        </w:rPr>
      </w:r>
      <w:r>
        <w:rPr>
          <w:rFonts w:ascii="Times New Roman" w:hAnsi="Times New Roman" w:cs="Times New Roman"/>
          <w:iCs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iCs/>
          <w:sz w:val="28"/>
          <w:szCs w:val="28"/>
        </w:rPr>
      </w:pPr>
      <w:r>
        <w:rPr>
          <w:lang w:eastAsia="ru-RU"/>
        </w:rPr>
        <w:drawing>
          <wp:inline distT="0" distB="0" distL="0" distR="0">
            <wp:extent cx="5346592" cy="2091680"/>
            <wp:effectExtent l="4762" t="4762" r="4762" b="4762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>
        <w:rPr>
          <w:rFonts w:ascii="Times New Roman" w:hAnsi="Times New Roman" w:cs="Times New Roman"/>
          <w:iCs/>
          <w:sz w:val="28"/>
          <w:szCs w:val="28"/>
        </w:rPr>
      </w:r>
      <w:r>
        <w:rPr>
          <w:rFonts w:ascii="Times New Roman" w:hAnsi="Times New Roman" w:cs="Times New Roman"/>
          <w:iCs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п. 6 Общих требований к орг</w:t>
      </w:r>
      <w:r>
        <w:rPr>
          <w:rFonts w:ascii="Times New Roman" w:hAnsi="Times New Roman" w:cs="Times New Roman"/>
          <w:sz w:val="28"/>
          <w:szCs w:val="28"/>
        </w:rPr>
        <w:t xml:space="preserve">анизации и осуществлению регионального государственного строительного надзора, утвержденных постановлением Правительства РФ от 01 декабря 2021 г. № 2161, объектами регионального государственного строительного надзора являются: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 деятельность, действия (бе</w:t>
      </w:r>
      <w:r>
        <w:rPr>
          <w:rFonts w:ascii="Times New Roman" w:hAnsi="Times New Roman" w:cs="Times New Roman"/>
          <w:sz w:val="28"/>
          <w:szCs w:val="28"/>
        </w:rPr>
        <w:t xml:space="preserve">здействие) застройщика, технического заказчика и лица, осуществляющего строительство, реконструкцию объекта капитального строительства (далее – контролируемые лица), по строительству, реконструкции объектов капитального строительства, указанных в части 11 </w:t>
      </w:r>
      <w:r>
        <w:rPr>
          <w:rFonts w:ascii="Times New Roman" w:hAnsi="Times New Roman" w:cs="Times New Roman"/>
          <w:sz w:val="28"/>
          <w:szCs w:val="28"/>
        </w:rPr>
        <w:t xml:space="preserve">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в случаях, установленных частями 1 и 2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 объекты капитального строительства, которыми граждане и организации владеют и (или) пользуются и которые указаны в части 11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в случаях, установленных частями 1 и</w:t>
      </w:r>
      <w:r>
        <w:rPr>
          <w:rFonts w:ascii="Times New Roman" w:hAnsi="Times New Roman" w:cs="Times New Roman"/>
          <w:sz w:val="28"/>
          <w:szCs w:val="28"/>
        </w:rPr>
        <w:t xml:space="preserve"> 2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94"/>
        <w:ind w:firstLine="709"/>
        <w:jc w:val="both"/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Контролируемыми лицами при осуществлении инспекцией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регионального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государственного строительного надзора являются: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  <w:t xml:space="preserve">1) застройщик:</w:t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16 статьи 1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– физическое или юридическое лицо, обеспечивающее на принадлежащем ему земельном участке или на земельном участке иного правообладателя (которому при осуществлении бюджетных инвестиций в объекты капитального строительства государственной (муниципальной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) собственности органы государственной власти (государственные органы), Государственная корпорация по атомной энергии «</w:t>
      </w:r>
      <w:r>
        <w:rPr>
          <w:rFonts w:ascii="Times New Roman" w:hAnsi="Times New Roman" w:cs="Times New Roman"/>
          <w:sz w:val="28"/>
          <w:szCs w:val="28"/>
        </w:rPr>
        <w:t xml:space="preserve">Росатом</w:t>
      </w:r>
      <w:r>
        <w:rPr>
          <w:rFonts w:ascii="Times New Roman" w:hAnsi="Times New Roman" w:cs="Times New Roman"/>
          <w:sz w:val="28"/>
          <w:szCs w:val="28"/>
        </w:rPr>
        <w:t xml:space="preserve">», Государственная корпорация по космической деятельности «</w:t>
      </w:r>
      <w:r>
        <w:rPr>
          <w:rFonts w:ascii="Times New Roman" w:hAnsi="Times New Roman" w:cs="Times New Roman"/>
          <w:sz w:val="28"/>
          <w:szCs w:val="28"/>
        </w:rPr>
        <w:t xml:space="preserve">Роскосмос</w:t>
      </w:r>
      <w:r>
        <w:rPr>
          <w:rFonts w:ascii="Times New Roman" w:hAnsi="Times New Roman" w:cs="Times New Roman"/>
          <w:sz w:val="28"/>
          <w:szCs w:val="28"/>
        </w:rPr>
        <w:t xml:space="preserve">», органы управления государственными внебюджетными фондами ил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передали в случаях, установленных бюджетным законодательством Российской Федерации, на основании соглашений свои полномочия государственного (муниципального) заказчика или которому в соответствии со статьей 13.3 Федеральног</w:t>
      </w:r>
      <w:r>
        <w:rPr>
          <w:rFonts w:ascii="Times New Roman" w:hAnsi="Times New Roman" w:cs="Times New Roman"/>
          <w:sz w:val="28"/>
          <w:szCs w:val="28"/>
        </w:rPr>
        <w:t xml:space="preserve">о закона от 29 июля 2017 года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 218-ФЗ «О публично-правовой компании «Фонд развития территорий» и о </w:t>
      </w:r>
      <w:r>
        <w:rPr>
          <w:rFonts w:ascii="Times New Roman" w:hAnsi="Times New Roman" w:cs="Times New Roman"/>
          <w:sz w:val="28"/>
          <w:szCs w:val="28"/>
        </w:rPr>
        <w:t xml:space="preserve">внесении изменений в отдельные законодательные акты Российской Федерации» передали на основании соглашений свои функции застройщика) строительство, рекон</w:t>
      </w:r>
      <w:r>
        <w:rPr>
          <w:rFonts w:ascii="Times New Roman" w:hAnsi="Times New Roman" w:cs="Times New Roman"/>
          <w:sz w:val="28"/>
          <w:szCs w:val="28"/>
        </w:rPr>
        <w:t xml:space="preserve">струкцию, капитальный</w:t>
      </w:r>
      <w:r>
        <w:rPr>
          <w:rFonts w:ascii="Times New Roman" w:hAnsi="Times New Roman" w:cs="Times New Roman"/>
          <w:sz w:val="28"/>
          <w:szCs w:val="28"/>
        </w:rPr>
        <w:t xml:space="preserve"> ремонт, снос объектов капитального строительства, а также выполнение инженерных изысканий, подготовку проектной документации для их строительства, реконструкции, капитального ремонта. Застройщик вправе передать свои функции, предусмот</w:t>
      </w:r>
      <w:r>
        <w:rPr>
          <w:rFonts w:ascii="Times New Roman" w:hAnsi="Times New Roman" w:cs="Times New Roman"/>
          <w:sz w:val="28"/>
          <w:szCs w:val="28"/>
        </w:rPr>
        <w:t xml:space="preserve">ренные законодательством о градостроительной деятельности, техническому заказчику;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  <w:t xml:space="preserve">2) технический заказчик:</w:t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22 статьи 1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– юридическое лицо, которое уполномочено застройщиком и от имени застройщика заключает договоры о выполне</w:t>
      </w:r>
      <w:r>
        <w:rPr>
          <w:rFonts w:ascii="Times New Roman" w:hAnsi="Times New Roman" w:cs="Times New Roman"/>
          <w:sz w:val="28"/>
          <w:szCs w:val="28"/>
        </w:rPr>
        <w:t xml:space="preserve">нии инженерных изысканий, о подготовке проектной документации, о строительстве, реконструкции, капитальном ремонте, сносе объектов капитального строительства, подготавливает задания на выполнение указанных видов работ, предоставляет лицам, выполняющим инже</w:t>
      </w:r>
      <w:r>
        <w:rPr>
          <w:rFonts w:ascii="Times New Roman" w:hAnsi="Times New Roman" w:cs="Times New Roman"/>
          <w:sz w:val="28"/>
          <w:szCs w:val="28"/>
        </w:rPr>
        <w:t xml:space="preserve">нерные изыскания и (или) осуществляющим подготовку проектной документации, строительство, реконструкцию, капитальный ремонт, снос</w:t>
      </w:r>
      <w:r>
        <w:rPr>
          <w:rFonts w:ascii="Times New Roman" w:hAnsi="Times New Roman" w:cs="Times New Roman"/>
          <w:sz w:val="28"/>
          <w:szCs w:val="28"/>
        </w:rPr>
        <w:t xml:space="preserve"> объектов капитального строительства, материалы и документы, необходимые для выполнения указанных видов работ, </w:t>
      </w:r>
      <w:r>
        <w:rPr>
          <w:rFonts w:ascii="Times New Roman" w:hAnsi="Times New Roman" w:cs="Times New Roman"/>
          <w:sz w:val="28"/>
          <w:szCs w:val="28"/>
        </w:rPr>
        <w:t xml:space="preserve">утверждает проек</w:t>
      </w:r>
      <w:r>
        <w:rPr>
          <w:rFonts w:ascii="Times New Roman" w:hAnsi="Times New Roman" w:cs="Times New Roman"/>
          <w:sz w:val="28"/>
          <w:szCs w:val="28"/>
        </w:rPr>
        <w:t xml:space="preserve">тную документацию, подписывает документы, необходимые для получения разрешения на ввод объекта капитального строительства в эксплуатацию, осуществляет иные функции, предусмотренные законодательством о градостроительной деятельности (далее также – функции т</w:t>
      </w:r>
      <w:r>
        <w:rPr>
          <w:rFonts w:ascii="Times New Roman" w:hAnsi="Times New Roman" w:cs="Times New Roman"/>
          <w:sz w:val="28"/>
          <w:szCs w:val="28"/>
        </w:rPr>
        <w:t xml:space="preserve">ехнического заказчика). </w:t>
      </w:r>
      <w:r>
        <w:rPr>
          <w:rFonts w:ascii="Times New Roman" w:hAnsi="Times New Roman" w:cs="Times New Roman"/>
          <w:sz w:val="28"/>
          <w:szCs w:val="28"/>
        </w:rPr>
        <w:t xml:space="preserve">Функции технического заказчика могут выполняться только членом соответственно саморегулируемой организации в области инженерных изысканий, архитектурно-строительного проектирования, строительства, реконструкции, капитального ремонта</w:t>
      </w:r>
      <w:r>
        <w:rPr>
          <w:rFonts w:ascii="Times New Roman" w:hAnsi="Times New Roman" w:cs="Times New Roman"/>
          <w:sz w:val="28"/>
          <w:szCs w:val="28"/>
        </w:rPr>
        <w:t xml:space="preserve">, сноса объектов капитального строительства, за исключением случаев, предусмотренных </w:t>
      </w:r>
      <w:hyperlink r:id="rId12" w:tooltip="consultantplus://offline/ref=131CC43B81ECCCB612C55E389A691AD51CDB41F24D35CC9149329389DC7A974CAC93EE67B18C87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частью 2.1 статьи 47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3" w:tooltip="consultantplus://offline/ref=131CC43B81ECCCB612C55E389A691AD51CDB41F24D35CC9149329389DC7A974CAC93EE67B18382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частью 4.1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tooltip="consultantplus://offline/ref=131CC43B81ECCCB612C55E389A691AD51CDB41F24D35CC9149329389DC7A974CAC93EE67B18287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частями 2.1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5" w:tooltip="consultantplus://offline/ref=131CC43B81ECCCB612C55E389A691AD51CDB41F24D35CC9149329389DC7A974CAC93EE67B18286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2.2 статьи 52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6" w:tooltip="consultantplus://offline/ref=131CC43B81ECCCB612C55E389A691AD51CDB41F24D35CC9149329389DC7A974CAC93EE64B08E86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частями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7" w:tooltip="consultantplus://offline/ref=131CC43B81ECCCB612C55E389A691AD51CDB41F24D35CC9149329389DC7A974CAC93EE64B08E89AB3E5715D3D9EC5A816634EE8ACA4BvDxEI" w:history="1">
        <w:r>
          <w:rPr>
            <w:rFonts w:ascii="Times New Roman" w:hAnsi="Times New Roman" w:cs="Times New Roman"/>
            <w:sz w:val="28"/>
            <w:szCs w:val="28"/>
          </w:rPr>
          <w:t xml:space="preserve">6 статьи 55.31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  <w:t xml:space="preserve">3) лицо, осущ</w:t>
      </w:r>
      <w:r>
        <w:rPr>
          <w:rFonts w:ascii="Times New Roman" w:hAnsi="Times New Roman" w:eastAsia="Times New Roman"/>
          <w:b/>
          <w:color w:val="000000" w:themeColor="text1"/>
          <w:spacing w:val="2"/>
          <w:sz w:val="28"/>
          <w:szCs w:val="28"/>
          <w:lang w:eastAsia="ru-RU"/>
        </w:rPr>
        <w:t xml:space="preserve">ествляющее строительство</w:t>
      </w:r>
      <w:r>
        <w:rPr>
          <w:rFonts w:ascii="Times New Roman" w:hAnsi="Times New Roman" w:cs="Times New Roman"/>
          <w:b/>
          <w:sz w:val="28"/>
          <w:szCs w:val="28"/>
        </w:rPr>
        <w:t xml:space="preserve">, реконструкцию, капитальный ремонт объекта капитального строительства </w:t>
      </w:r>
      <w:r>
        <w:rPr>
          <w:rFonts w:ascii="Times New Roman" w:hAnsi="Times New Roman" w:cs="Times New Roman"/>
          <w:sz w:val="28"/>
          <w:szCs w:val="28"/>
        </w:rPr>
        <w:t xml:space="preserve">(далее – лицо, осуществляющее строительство)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в соответствии с частью 3 статьи 52 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ГрК</w:t>
      </w:r>
      <w:r>
        <w:rPr>
          <w:rFonts w:ascii="Times New Roman" w:hAnsi="Times New Roman" w:eastAsia="Times New Roman"/>
          <w:color w:val="000000" w:themeColor="text1"/>
          <w:spacing w:val="2"/>
          <w:sz w:val="28"/>
          <w:szCs w:val="28"/>
          <w:lang w:eastAsia="ru-RU"/>
        </w:rPr>
        <w:t xml:space="preserve"> РФ л</w:t>
      </w:r>
      <w:r>
        <w:rPr>
          <w:rFonts w:ascii="Times New Roman" w:hAnsi="Times New Roman" w:cs="Times New Roman"/>
          <w:sz w:val="28"/>
          <w:szCs w:val="28"/>
        </w:rPr>
        <w:t xml:space="preserve">ицом, осуществляющим строительство, может являться застройщик либо инди</w:t>
      </w:r>
      <w:r>
        <w:rPr>
          <w:rFonts w:ascii="Times New Roman" w:hAnsi="Times New Roman" w:cs="Times New Roman"/>
          <w:sz w:val="28"/>
          <w:szCs w:val="28"/>
        </w:rPr>
        <w:t xml:space="preserve">видуальный предприниматель или юридическое лицо, заключившие договор строительного подряда. </w:t>
      </w:r>
      <w:r>
        <w:rPr>
          <w:rFonts w:ascii="Times New Roman" w:hAnsi="Times New Roman" w:cs="Times New Roman"/>
          <w:sz w:val="28"/>
          <w:szCs w:val="28"/>
        </w:rPr>
        <w:t xml:space="preserve">Лицо, осуществляющее строительство, обеспечивает соблюдение требований проектной документации, технических регламентов, техники безопасности в процессе указанных ра</w:t>
      </w:r>
      <w:r>
        <w:rPr>
          <w:rFonts w:ascii="Times New Roman" w:hAnsi="Times New Roman" w:cs="Times New Roman"/>
          <w:sz w:val="28"/>
          <w:szCs w:val="28"/>
        </w:rPr>
        <w:t xml:space="preserve">бот и несет ответственность за качество выполненных работ и их соответствие требованиям проектной документации и (или) информационной модели (в случае, если формирование и ведение информационной модели являются обязательными в соответствии с требованиями </w:t>
      </w:r>
      <w:r>
        <w:rPr>
          <w:rFonts w:ascii="Times New Roman" w:hAnsi="Times New Roman" w:cs="Times New Roman"/>
          <w:sz w:val="28"/>
          <w:szCs w:val="28"/>
        </w:rPr>
        <w:t xml:space="preserve">Г</w:t>
      </w:r>
      <w:r>
        <w:rPr>
          <w:rFonts w:ascii="Times New Roman" w:hAnsi="Times New Roman" w:cs="Times New Roman"/>
          <w:sz w:val="28"/>
          <w:szCs w:val="28"/>
        </w:rPr>
        <w:t xml:space="preserve">рК</w:t>
      </w:r>
      <w:r>
        <w:rPr>
          <w:rFonts w:ascii="Times New Roman" w:hAnsi="Times New Roman" w:cs="Times New Roman"/>
          <w:sz w:val="28"/>
          <w:szCs w:val="28"/>
        </w:rPr>
        <w:t xml:space="preserve"> РФ.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08"/>
        <w:jc w:val="center"/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1.2. Статистические показатели состояния контролируемой сферы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spacing w:after="0" w:line="240" w:lineRule="auto"/>
        <w:shd w:val="clear" w:color="auto" w:fill="ffffff" w:themeFill="background1"/>
      </w:pPr>
      <w:r/>
      <w:r/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Региональный государственный строительный надзор осуществляется посредством организации и проведения контрольных (надзорных) мероприятий в отношении контролируемых лиц.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3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предметом государственного строительного надзора в отношении объектов капитального строительства, указанных в части 1 статьи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является соблюдение: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соответствия выполняемых работ и применяемых строитель</w:t>
      </w:r>
      <w:r>
        <w:rPr>
          <w:rFonts w:ascii="Times New Roman" w:hAnsi="Times New Roman" w:cs="Times New Roman"/>
          <w:sz w:val="28"/>
          <w:szCs w:val="28"/>
        </w:rPr>
        <w:t xml:space="preserve">ных материалов и изделий в процессе строительства, реконструкции объекта капитального строительства, а также результатов таких работ требованиям утвержденной в соответствии с частями 15, 15.2 и 15.3 статьи 48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проектной документации (в том числе с уч</w:t>
      </w:r>
      <w:r>
        <w:rPr>
          <w:rFonts w:ascii="Times New Roman" w:hAnsi="Times New Roman" w:cs="Times New Roman"/>
          <w:sz w:val="28"/>
          <w:szCs w:val="28"/>
        </w:rPr>
        <w:t xml:space="preserve">етом изменений, внесенных в рабочую документацию и являющихся в соответствии с частью 1.3 статьи 52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 частью такой</w:t>
      </w:r>
      <w:r>
        <w:rPr>
          <w:rFonts w:ascii="Times New Roman" w:hAnsi="Times New Roman" w:cs="Times New Roman"/>
          <w:sz w:val="28"/>
          <w:szCs w:val="28"/>
        </w:rPr>
        <w:t xml:space="preserve"> проектной документации) и (или) информационной модели (в случае, если формирование и ведение информационной модели являются обязательным</w:t>
      </w:r>
      <w:r>
        <w:rPr>
          <w:rFonts w:ascii="Times New Roman" w:hAnsi="Times New Roman" w:cs="Times New Roman"/>
          <w:sz w:val="28"/>
          <w:szCs w:val="28"/>
        </w:rPr>
        <w:t xml:space="preserve">и в соответствии с требованиями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РФ);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наличия разрешения на строительство;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выполнения требований, установленных частями 2, 3 и 3.1 статьи 52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 РФ;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выполнения требований, установленных частью 4 статьи 52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к обеспечению консервации объект</w:t>
      </w:r>
      <w:r>
        <w:rPr>
          <w:rFonts w:ascii="Times New Roman" w:hAnsi="Times New Roman" w:cs="Times New Roman"/>
          <w:sz w:val="28"/>
          <w:szCs w:val="28"/>
        </w:rPr>
        <w:t xml:space="preserve">а капитального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выполнения требований к порядку осуществления строительного контроля, установленных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иными нормативными правовыми актами.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Предметом государственного строительного надзора в отношении объектов, указанных в части 2 стат</w:t>
      </w:r>
      <w:r>
        <w:rPr>
          <w:rFonts w:ascii="Times New Roman" w:hAnsi="Times New Roman" w:cs="Times New Roman"/>
          <w:sz w:val="28"/>
          <w:szCs w:val="28"/>
        </w:rPr>
        <w:t xml:space="preserve">ьи 54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являются соблюдение: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требований наличия разрешения на строительство и соответствия объекта капитального строительства параметрам, указанным в разрешении на строительство, если разрешение на строительство требуется для строительства или реко</w:t>
      </w:r>
      <w:r>
        <w:rPr>
          <w:rFonts w:ascii="Times New Roman" w:hAnsi="Times New Roman" w:cs="Times New Roman"/>
          <w:sz w:val="28"/>
          <w:szCs w:val="28"/>
        </w:rPr>
        <w:t xml:space="preserve">нструкции объекта капитального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6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соответствия параметров объектов капитального строительства предельным параметрам разрешенного строительства, реконструкции объектов капитального строительства, установленным правилами землепользования и заст</w:t>
      </w:r>
      <w:r>
        <w:rPr>
          <w:rFonts w:ascii="Times New Roman" w:hAnsi="Times New Roman" w:cs="Times New Roman"/>
          <w:sz w:val="28"/>
          <w:szCs w:val="28"/>
        </w:rPr>
        <w:t xml:space="preserve">ройки, документацией по планировке территории, и обязательным требованиям к параметрам объектов капитального строительства, установленным </w:t>
      </w:r>
      <w:r>
        <w:rPr>
          <w:rFonts w:ascii="Times New Roman" w:hAnsi="Times New Roman" w:cs="Times New Roman"/>
          <w:sz w:val="28"/>
          <w:szCs w:val="28"/>
        </w:rPr>
        <w:t xml:space="preserve">ГрК</w:t>
      </w:r>
      <w:r>
        <w:rPr>
          <w:rFonts w:ascii="Times New Roman" w:hAnsi="Times New Roman" w:cs="Times New Roman"/>
          <w:sz w:val="28"/>
          <w:szCs w:val="28"/>
        </w:rPr>
        <w:t xml:space="preserve"> РФ, другими федеральными законами, если для строительства или реконструкции объекта капитального строительства не </w:t>
      </w:r>
      <w:r>
        <w:rPr>
          <w:rFonts w:ascii="Times New Roman" w:hAnsi="Times New Roman" w:cs="Times New Roman"/>
          <w:sz w:val="28"/>
          <w:szCs w:val="28"/>
        </w:rPr>
        <w:t xml:space="preserve">требуется разрешение на строительство.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Застройщик обязан обеспечить должностным лицам органа государственного строительного надзора доступ на объекты капитального строительства в целях проведения соответствующего контрольного (надзорного) мероприятия. Конт</w:t>
      </w:r>
      <w:r>
        <w:rPr>
          <w:rFonts w:ascii="Times New Roman" w:hAnsi="Times New Roman" w:cs="Times New Roman"/>
          <w:sz w:val="28"/>
          <w:szCs w:val="28"/>
        </w:rPr>
        <w:t xml:space="preserve">ролируемому лицу (его представителю) инспектором, в том числе руководителем группы инспекторов, предъявляются служебное удостоверение, заверенная печатью бумажная копия либо решение о проведении контрольного (надзорного) мероприятия в форме электронного до</w:t>
      </w:r>
      <w:r>
        <w:rPr>
          <w:rFonts w:ascii="Times New Roman" w:hAnsi="Times New Roman" w:cs="Times New Roman"/>
          <w:sz w:val="28"/>
          <w:szCs w:val="28"/>
        </w:rPr>
        <w:t xml:space="preserve">кумента, подписанного квалифицированной электронной подписью, а также сообщается учетный номер контрольного (надзорного) мероприятия в едином реестре контрольных (надзорных)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 xml:space="preserve">В 1 полугодии 2024 года  инспекцией было проведено 1292 контрольных (</w:t>
      </w:r>
      <w:r>
        <w:rPr>
          <w:rFonts w:ascii="Times New Roman" w:hAnsi="Times New Roman" w:cs="Times New Roman"/>
          <w:sz w:val="28"/>
          <w:szCs w:val="28"/>
        </w:rPr>
        <w:t xml:space="preserve">надзорных) </w:t>
      </w:r>
      <w:r>
        <w:rPr>
          <w:rFonts w:ascii="Times New Roman" w:hAnsi="Times New Roman" w:cs="Times New Roman"/>
          <w:sz w:val="28"/>
          <w:szCs w:val="28"/>
        </w:rPr>
        <w:t xml:space="preserve">мероприятия, выяв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лено 1091 нарушение обязательных требований.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Информация о проведенных</w:t>
      </w:r>
      <w:r>
        <w:rPr>
          <w:rFonts w:ascii="Times New Roman" w:hAnsi="Times New Roman" w:cs="Times New Roman"/>
          <w:sz w:val="28"/>
          <w:szCs w:val="28"/>
        </w:rPr>
        <w:t xml:space="preserve"> инспекцией контрольных (надзорных) мероприятий в 1 полугодии 2024 года приведена в таблице № 1.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</w:r>
      <w:r>
        <w:rPr>
          <w:rFonts w:ascii="Times New Roman" w:hAnsi="Times New Roman" w:cs="Times New Roman"/>
          <w:color w:val="ff0000"/>
          <w:sz w:val="28"/>
          <w:szCs w:val="28"/>
        </w:rPr>
      </w:r>
      <w:r>
        <w:rPr>
          <w:rFonts w:ascii="Times New Roman" w:hAnsi="Times New Roman" w:cs="Times New Roman"/>
          <w:color w:val="ff0000"/>
          <w:sz w:val="28"/>
          <w:szCs w:val="28"/>
        </w:rPr>
      </w:r>
    </w:p>
    <w:p>
      <w:pPr>
        <w:ind w:firstLine="708"/>
        <w:jc w:val="right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 1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85"/>
        <w:tblW w:w="978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17"/>
        <w:gridCol w:w="1433"/>
        <w:gridCol w:w="1223"/>
        <w:gridCol w:w="1329"/>
        <w:gridCol w:w="1329"/>
        <w:gridCol w:w="1229"/>
        <w:gridCol w:w="1011"/>
        <w:gridCol w:w="1118"/>
      </w:tblGrid>
      <w:tr>
        <w:tblPrEx/>
        <w:trPr>
          <w:trHeight w:val="564"/>
        </w:trPr>
        <w:tc>
          <w:tcPr>
            <w:gridSpan w:val="2"/>
            <w:shd w:val="clear" w:color="auto" w:fill="auto"/>
            <w:tcW w:w="326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Проведено контрольных (надзорных) мероприятий: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Выездная проверка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Документарная проверка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Инспекционный визит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Рейдовый осмотр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Выездное обследование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ind w:left="-108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  <w:t xml:space="preserve">Мониторинг безопасности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8"/>
              </w:rPr>
            </w:r>
          </w:p>
        </w:tc>
      </w:tr>
      <w:tr>
        <w:tblPrEx/>
        <w:trPr>
          <w:trHeight w:val="310"/>
        </w:trPr>
        <w:tc>
          <w:tcPr>
            <w:gridSpan w:val="2"/>
            <w:shd w:val="clear" w:color="auto" w:fill="auto"/>
            <w:tcW w:w="326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программам проверок: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1029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26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310"/>
        </w:trPr>
        <w:tc>
          <w:tcPr>
            <w:gridSpan w:val="2"/>
            <w:shd w:val="clear" w:color="auto" w:fill="auto"/>
            <w:tcW w:w="326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контролю исполнения предписаний: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</w:t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shd w:val="clear" w:color="auto" w:fill="auto"/>
            <w:tcW w:w="1418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заявлениям и обращениям: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  <w:p>
            <w:pPr>
              <w:ind w:firstLine="708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843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ч. 1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ст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 54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ГрК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tabs>
                <w:tab w:val="left" w:pos="1125" w:leader="none"/>
              </w:tabs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2 (о возникновении угрозы причинения вреда жизни, здоровью граждан, вреда животным, 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растениям, окружающей среде, объектам культурного наследия)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tabs>
                <w:tab w:val="left" w:pos="1125" w:leader="none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tabs>
                <w:tab w:val="left" w:pos="1125" w:leader="none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14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shd w:val="clear" w:color="auto" w:fill="auto"/>
            <w:tcW w:w="1418" w:type="dxa"/>
            <w:vMerge w:val="continue"/>
            <w:textDirection w:val="lrTb"/>
            <w:noWrap w:val="false"/>
          </w:tcPr>
          <w:p>
            <w:pPr>
              <w:ind w:firstLine="708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843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по ч. 2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ст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 54 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ГрК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:</w:t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  <w:r>
              <w:rPr>
                <w:rFonts w:ascii="Times New Roman" w:hAnsi="Times New Roman" w:cs="Times New Roman"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147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gridSpan w:val="2"/>
            <w:shd w:val="clear" w:color="auto" w:fill="auto"/>
            <w:tcW w:w="3261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  <w:t xml:space="preserve">по требованиям прокуратуры:</w:t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296"/>
        </w:trPr>
        <w:tc>
          <w:tcPr>
            <w:gridSpan w:val="2"/>
            <w:shd w:val="clear" w:color="auto" w:fill="auto"/>
            <w:tcW w:w="3261" w:type="dxa"/>
            <w:textDirection w:val="lrTb"/>
            <w:noWrap/>
          </w:tcPr>
          <w:p>
            <w:pPr>
              <w:jc w:val="both"/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  <w:t xml:space="preserve">выявление индикатора риска</w:t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  <w:r>
              <w:rPr>
                <w:rFonts w:ascii="Times New Roman" w:hAnsi="Times New Roman" w:cs="Times New Roman"/>
                <w:sz w:val="20"/>
                <w:szCs w:val="28"/>
                <w:highlight w:val="white"/>
              </w:rPr>
            </w:r>
          </w:p>
        </w:tc>
        <w:tc>
          <w:tcPr>
            <w:shd w:val="clear" w:color="auto" w:fill="auto"/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57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310"/>
        </w:trPr>
        <w:tc>
          <w:tcPr>
            <w:gridSpan w:val="2"/>
            <w:shd w:val="clear" w:color="auto" w:fill="auto"/>
            <w:tcW w:w="3261" w:type="dxa"/>
            <w:textDirection w:val="lrTb"/>
            <w:noWrap/>
          </w:tcPr>
          <w:p>
            <w:pPr>
              <w:jc w:val="both"/>
              <w:spacing w:before="240"/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  <w:t xml:space="preserve">ИТОГО: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</w:p>
          <w:p>
            <w:pPr>
              <w:jc w:val="both"/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8"/>
              </w:rPr>
            </w:r>
          </w:p>
        </w:tc>
        <w:tc>
          <w:tcPr>
            <w:shd w:val="clear" w:color="auto" w:fill="auto"/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1037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30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auto" w:fill="auto"/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7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auto" w:fill="auto"/>
            <w:tcW w:w="156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ffffff" w:fill="ffffff"/>
            <w:tcW w:w="127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218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shd w:val="clear" w:color="ffffff" w:fill="ffffff"/>
            <w:tcW w:w="141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</w:tbl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/>
          <w:sz w:val="10"/>
          <w:szCs w:val="28"/>
        </w:rPr>
      </w:pPr>
      <w:r>
        <w:rPr>
          <w:rFonts w:ascii="Times New Roman" w:hAnsi="Times New Roman" w:cs="Times New Roman"/>
          <w:b/>
          <w:sz w:val="10"/>
          <w:szCs w:val="28"/>
        </w:rPr>
      </w:r>
      <w:r>
        <w:rPr>
          <w:rFonts w:ascii="Times New Roman" w:hAnsi="Times New Roman" w:cs="Times New Roman"/>
          <w:b/>
          <w:sz w:val="10"/>
          <w:szCs w:val="28"/>
        </w:rPr>
      </w:r>
      <w:r>
        <w:rPr>
          <w:rFonts w:ascii="Times New Roman" w:hAnsi="Times New Roman" w:cs="Times New Roman"/>
          <w:b/>
          <w:sz w:val="10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состоянию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01.07.2024</w:t>
      </w:r>
      <w:r>
        <w:rPr>
          <w:rFonts w:ascii="Times New Roman" w:hAnsi="Times New Roman" w:cs="Times New Roman"/>
          <w:sz w:val="1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произошло увеличение количества проведенных контрольных (надзорных) мероприятий в расчете на одного инспектора, о чем свидетельствуют показатели таблицы № 2.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"/>
          <w:szCs w:val="8"/>
        </w:rPr>
      </w:pPr>
      <w:r>
        <w:rPr>
          <w:rFonts w:ascii="Times New Roman" w:hAnsi="Times New Roman" w:cs="Times New Roman"/>
          <w:sz w:val="2"/>
          <w:szCs w:val="8"/>
        </w:rPr>
      </w:r>
      <w:r>
        <w:rPr>
          <w:rFonts w:ascii="Times New Roman" w:hAnsi="Times New Roman" w:cs="Times New Roman"/>
          <w:sz w:val="2"/>
          <w:szCs w:val="8"/>
        </w:rPr>
      </w:r>
      <w:r>
        <w:rPr>
          <w:rFonts w:ascii="Times New Roman" w:hAnsi="Times New Roman" w:cs="Times New Roman"/>
          <w:sz w:val="2"/>
          <w:szCs w:val="8"/>
        </w:rPr>
      </w:r>
    </w:p>
    <w:p>
      <w:pPr>
        <w:jc w:val="right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 2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85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820"/>
        <w:gridCol w:w="2268"/>
        <w:gridCol w:w="2126"/>
      </w:tblGrid>
      <w:tr>
        <w:tblPrEx/>
        <w:trPr/>
        <w:tc>
          <w:tcPr>
            <w:tcW w:w="709" w:type="dxa"/>
            <w:vMerge w:val="restart"/>
            <w:textDirection w:val="lrTb"/>
            <w:noWrap w:val="false"/>
          </w:tcPr>
          <w:p>
            <w:pPr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vMerge w:val="restart"/>
            <w:textDirection w:val="lrTb"/>
            <w:noWrap w:val="false"/>
          </w:tcPr>
          <w:p>
            <w:pPr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4394" w:type="dxa"/>
            <w:vAlign w:val="center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Период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vMerge w:val="continue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820" w:type="dxa"/>
            <w:vMerge w:val="continue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shd w:val="clear" w:color="auto" w:fill="ffffff" w:themeFill="background1"/>
            <w:tcW w:w="2268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состоянию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01.07.2024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состоянию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01.07.2023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контрольных (надзорных)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268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1292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1155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инспекторов, осуществляющих проведение контрольных (надзорных)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268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709" w:type="dxa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both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Среднее количество контрольных (надзорных) мероприятий, приходящихся на одного инспектора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r>
          </w:p>
        </w:tc>
        <w:tc>
          <w:tcPr>
            <w:shd w:val="clear" w:color="auto" w:fill="ffffff" w:themeFill="background1"/>
            <w:tcW w:w="2268" w:type="dxa"/>
            <w:vAlign w:val="center"/>
            <w:textDirection w:val="lrTb"/>
            <w:noWrap w:val="false"/>
          </w:tcPr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29,36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 w:themeFill="background1"/>
            <w:tcW w:w="2126" w:type="dxa"/>
            <w:vAlign w:val="center"/>
            <w:textDirection w:val="lrTb"/>
            <w:noWrap w:val="false"/>
          </w:tcPr>
          <w:p>
            <w:pPr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26,25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8"/>
          <w:szCs w:val="28"/>
        </w:rPr>
      </w:pPr>
      <w:r>
        <w:rPr>
          <w:rFonts w:ascii="Times New Roman" w:hAnsi="Times New Roman" w:cs="Times New Roman"/>
          <w:sz w:val="8"/>
          <w:szCs w:val="28"/>
        </w:rPr>
      </w:r>
      <w:r>
        <w:rPr>
          <w:rFonts w:ascii="Times New Roman" w:hAnsi="Times New Roman" w:cs="Times New Roman"/>
          <w:sz w:val="8"/>
          <w:szCs w:val="28"/>
        </w:rPr>
      </w:r>
      <w:r>
        <w:rPr>
          <w:rFonts w:ascii="Times New Roman" w:hAnsi="Times New Roman" w:cs="Times New Roman"/>
          <w:sz w:val="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распространенным видом юридической ответственности в поднадзорной инспекции сфере является административная ответственность, установленная нормами Кодекса Российской Федерации об административных правонарушениях (далее – КоАП РФ) направленная на п</w:t>
      </w:r>
      <w:r>
        <w:rPr>
          <w:rFonts w:ascii="Times New Roman" w:hAnsi="Times New Roman" w:cs="Times New Roman"/>
          <w:sz w:val="28"/>
          <w:szCs w:val="28"/>
        </w:rPr>
        <w:t xml:space="preserve">редупреждение, выявление и пресечение нарушений законодательства Российской Федерации.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Динамика применения административного наказания в виде предупреждения приведена на рисунке 2.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10"/>
          <w:szCs w:val="28"/>
        </w:rPr>
      </w:pPr>
      <w:r>
        <w:rPr>
          <w:rFonts w:ascii="Times New Roman" w:hAnsi="Times New Roman" w:cs="Times New Roman"/>
          <w:sz w:val="10"/>
          <w:szCs w:val="28"/>
        </w:rPr>
      </w:r>
      <w:r>
        <w:rPr>
          <w:rFonts w:ascii="Times New Roman" w:hAnsi="Times New Roman" w:cs="Times New Roman"/>
          <w:sz w:val="10"/>
          <w:szCs w:val="28"/>
        </w:rPr>
      </w:r>
      <w:r>
        <w:rPr>
          <w:rFonts w:ascii="Times New Roman" w:hAnsi="Times New Roman" w:cs="Times New Roman"/>
          <w:sz w:val="10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lang w:eastAsia="ru-RU"/>
        </w:rPr>
        <w:drawing>
          <wp:inline distT="0" distB="0" distL="0" distR="0">
            <wp:extent cx="6096901" cy="2371087"/>
            <wp:effectExtent l="4762" t="4762" r="4762" b="4762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</w:r>
      <w:r>
        <w:rPr>
          <w:rFonts w:ascii="Times New Roman" w:hAnsi="Times New Roman" w:cs="Times New Roman"/>
          <w:sz w:val="14"/>
          <w:szCs w:val="14"/>
        </w:rPr>
      </w:r>
      <w:r>
        <w:rPr>
          <w:rFonts w:ascii="Times New Roman" w:hAnsi="Times New Roman" w:cs="Times New Roman"/>
          <w:sz w:val="14"/>
          <w:szCs w:val="14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Анализ составов административных правонарушений КоАП РФ позволяет выделить групп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административных правонарушений в строительстве, групп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административных правонарушений, посягающих на институты государственной власти, групп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административных правонарушени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против порядка управления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eastAsia="zh-CN"/>
        </w:rPr>
        <w:t xml:space="preserve">и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группу административных правонарушений, посягающих на общественный порядок и общественную безопасность. К числу первых следует отнести следующие составы: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статья 9.4 КоАП РФ – нарушение обязательных требований в области строи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тельства и применения строительных материалов (изделий);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статья 9.5 КоАП РФ – нарушение установленного порядка строительства, реконструкции, капитального ремонта объекта капитального строительства, ввода его в эксплуатацию;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часть 1 статьи 9.5.1 КоАП РФ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ыполнение работ по строительству, реконструкции лицом, не являющимся членом саморегулируемой организации в области строительства, реконструкции объектов капитального строительства, если для выполнения таких работ членство в такой саморегулируемой орган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изации является обязательным.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Эти составы непосредственно касаются предмета надзорной деятельности инспекции. 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 второй группе административных правонарушений относится: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статья 17.7 КоАП РФ –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евыполнение законных требований должностного лица, осуществл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яющего производство по делу об административном правонарушении.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т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eastAsia="zh-CN"/>
        </w:rPr>
        <w:t xml:space="preserve">ретьей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группе административных правонарушений относ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eastAsia="zh-CN"/>
        </w:rPr>
        <w:t xml:space="preserve">и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тся: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- часть 2 статьи 19.4.1 – воспрепятствование законной деятельности должностного лица органа государственного контроля (надзора)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по проведению проверок или уклонение от таких проверок, повлекшее невозможность проведения или завершения проверки;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часть 6 статьи 19.5 КоАП РФ –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евыполнение в срок законного предписания (постановления, представления, решения) органа (должностного лица)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осуществляющего государственный надзор (контроль);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eastAsia="Calibri" w:cs="Times New Roman"/>
          <w:color w:val="000000" w:themeColor="text1"/>
          <w:sz w:val="28"/>
          <w:szCs w:val="28"/>
        </w:rPr>
        <w:t xml:space="preserve">- статья 19.7 КоАП РФ – непредставление сведений (информации).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contextualSpacing/>
        <w:ind w:firstLine="709"/>
        <w:jc w:val="both"/>
        <w:spacing w:after="0" w:line="240" w:lineRule="auto"/>
        <w:rPr>
          <w:color w:val="000000" w:themeColor="text1"/>
        </w:rPr>
        <w:suppressLineNumbers/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r>
        <w:rPr>
          <w:rFonts w:ascii="Times New Roman" w:hAnsi="Times New Roman" w:eastAsia="Calibri" w:cs="Times New Roman"/>
          <w:color w:val="000000" w:themeColor="text1"/>
          <w:sz w:val="28"/>
          <w:szCs w:val="28"/>
          <w:lang w:eastAsia="zh-CN"/>
        </w:rPr>
        <w:t xml:space="preserve">четвертой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группе административных правонарушений относится:</w:t>
      </w:r>
      <w:r>
        <w:rPr>
          <w:color w:val="000000" w:themeColor="text1"/>
        </w:rPr>
      </w:r>
      <w:r>
        <w:rPr>
          <w:color w:val="000000" w:themeColor="text1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часть 1 статьи 20.25 КоАП РФ – неуплата административного штрафа                     в срок, предусмотренный КоАП РФ.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количестве вынесенных инспекцией, а также судами Новосибирской области постановлений/решений на основании поступивших материа</w:t>
      </w:r>
      <w:r>
        <w:rPr>
          <w:rFonts w:ascii="Times New Roman" w:hAnsi="Times New Roman" w:cs="Times New Roman"/>
          <w:sz w:val="28"/>
          <w:szCs w:val="28"/>
        </w:rPr>
        <w:t xml:space="preserve">лов дел об административных правонарушениях в сфере строительства, представлены в таблице № 3.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 3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9924" w:type="dxa"/>
        <w:tblInd w:w="10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1"/>
        <w:gridCol w:w="1276"/>
        <w:gridCol w:w="1417"/>
        <w:gridCol w:w="1134"/>
        <w:gridCol w:w="15"/>
        <w:gridCol w:w="1261"/>
        <w:gridCol w:w="1134"/>
        <w:gridCol w:w="1276"/>
      </w:tblGrid>
      <w:tr>
        <w:tblPrEx/>
        <w:trPr>
          <w:trHeight w:val="187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Количество постановлений/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решений, вынесенных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по состоянию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на 01.07.2024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gridSpan w:val="3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Количество постановлений/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решений, вынесенных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по состоянию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на 01.07.2023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Количество постановлений/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решений,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вынесенных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по состоянию 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  <w:t xml:space="preserve">на 01.07.2022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</w:tr>
      <w:tr>
        <w:tblPrEx/>
        <w:trPr>
          <w:trHeight w:val="633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411" w:type="dxa"/>
            <w:vAlign w:val="center"/>
            <w:vMerge w:val="continue"/>
            <w:textDirection w:val="lrTb"/>
            <w:noWrap w:val="false"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инспекцией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судами Новосибирской области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49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инспекцией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судами Новосибирской области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инспекцией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судами Новосибирской области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1 статьи 9.4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262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231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236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2 статьи 9.4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34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63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vMerge w:val="restart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часть 3 статьи 9.4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5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2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gridSpan w:val="2"/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  <w:tc>
          <w:tcPr>
            <w:shd w:val="clear" w:color="ffffff" w:fill="ffffff" w:themeFill="background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 w:themeColor="text1"/>
                <w:highlight w:val="white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white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white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1 статьи 9.5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8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7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2 статьи 9.5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3 статьи 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4 статьи 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5 статьи 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1 статьи 9.5.1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9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статья 17.7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2 статьи 19.4.1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часть 6 статьи 19.5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28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highlight w:val="white"/>
              </w:rPr>
            </w:pPr>
            <w:r>
              <w:rPr>
                <w:rFonts w:ascii="Times New Roman" w:hAnsi="Times New Roman" w:cs="Times New Roman"/>
                <w:color w:val="000000"/>
                <w:highlight w:val="white"/>
                <w:lang w:eastAsia="ru-RU"/>
              </w:rPr>
              <w:t xml:space="preserve">статья 19.7</w:t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highlight w:val="white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3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17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  <w:tr>
        <w:tblPrEx/>
        <w:trPr>
          <w:trHeight w:val="315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411" w:type="dxa"/>
            <w:vAlign w:val="bottom"/>
            <w:textDirection w:val="lrTb"/>
            <w:noWrap/>
          </w:tcPr>
          <w:p>
            <w:pPr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часть 1 статьи 20.25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7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6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134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27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-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 w:themeFill="background1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19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</w:r>
          </w:p>
        </w:tc>
      </w:tr>
    </w:tbl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правонарушений за 1 полугодие 2024, 2023, 2022 годов показывает, что основными нарушениями обязательных требований являются нарушение требований проектной документации и ненадлежащее осуществление строительного контроля.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08"/>
        <w:jc w:val="center"/>
        <w:spacing w:before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1.3. Описание текущего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уров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ня развития программы профилактической деятельности инспекции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tabs>
          <w:tab w:val="left" w:pos="3879" w:leader="none"/>
        </w:tabs>
        <w:rPr>
          <w:sz w:val="6"/>
          <w:szCs w:val="6"/>
        </w:rPr>
      </w:pPr>
      <w:r>
        <w:rPr>
          <w:sz w:val="6"/>
          <w:szCs w:val="6"/>
        </w:rPr>
      </w:r>
      <w:r>
        <w:rPr>
          <w:sz w:val="6"/>
          <w:szCs w:val="6"/>
        </w:rPr>
      </w:r>
      <w:r>
        <w:rPr>
          <w:sz w:val="6"/>
          <w:szCs w:val="6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1 статьи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 Федерального закона № 248-ФЗ при осуществлении государственного контрол</w:t>
      </w:r>
      <w:r>
        <w:rPr>
          <w:rFonts w:ascii="Times New Roman" w:hAnsi="Times New Roman" w:cs="Times New Roman"/>
          <w:sz w:val="28"/>
          <w:szCs w:val="28"/>
        </w:rPr>
        <w:t xml:space="preserve">я (надзора) проведение профилактических мероприятий, направленных на снижение риска при</w:t>
      </w:r>
      <w:r>
        <w:rPr>
          <w:rFonts w:ascii="Times New Roman" w:hAnsi="Times New Roman" w:cs="Times New Roman"/>
          <w:sz w:val="28"/>
          <w:szCs w:val="28"/>
        </w:rPr>
        <w:t xml:space="preserve">чинения вреда (ущерба), является приоритетным по отношению к проведению контрольных (надзорных)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профилактики на 2024 год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утверждена приказом инспекции от 19.12.2023 № </w:t>
      </w:r>
      <w:r>
        <w:rPr>
          <w:rFonts w:ascii="Times New Roman" w:hAnsi="Times New Roman" w:cs="Times New Roman"/>
          <w:sz w:val="28"/>
          <w:szCs w:val="28"/>
        </w:rPr>
        <w:t xml:space="preserve">48 и размещена на официальном сайте инспекции в сети «Интернет» в </w:t>
      </w:r>
      <w:r>
        <w:rPr>
          <w:rFonts w:ascii="Times New Roman" w:hAnsi="Times New Roman" w:cs="Times New Roman"/>
          <w:sz w:val="28"/>
          <w:szCs w:val="28"/>
        </w:rPr>
        <w:t xml:space="preserve">подразделе «Профилактика рисков причинения вреда» раздела «Контрольно-надзорная деятельность» по адресу: </w:t>
      </w:r>
      <w:hyperlink r:id="rId19" w:tooltip="http://gsn.nso.ru/page/328" w:history="1">
        <w:r>
          <w:rPr>
            <w:rStyle w:val="886"/>
            <w:rFonts w:ascii="Times New Roman" w:hAnsi="Times New Roman" w:cs="Times New Roman"/>
            <w:sz w:val="28"/>
            <w:szCs w:val="28"/>
          </w:rPr>
          <w:t xml:space="preserve">http://gsn.nso.ru/page/328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первом полугодии 2024 года цели программы проф</w:t>
      </w:r>
      <w:r>
        <w:rPr>
          <w:rFonts w:ascii="Times New Roman" w:hAnsi="Times New Roman" w:cs="Times New Roman"/>
          <w:sz w:val="28"/>
          <w:szCs w:val="28"/>
        </w:rPr>
        <w:t xml:space="preserve">илактики достигались путем: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1) обеспечения актуальности размещенного на официальном сайте инспекции в сети «Интернет» в подразделе «Перечень нормативных правовых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актов (их отдельных положений),</w:t>
      </w:r>
      <w:r>
        <w:rPr>
          <w:rFonts w:ascii="Times New Roman" w:hAnsi="Times New Roman" w:cs="Times New Roman"/>
          <w:bCs/>
          <w:sz w:val="28"/>
          <w:szCs w:val="28"/>
        </w:rPr>
        <w:t xml:space="preserve"> содержащих обязательные требования, оценка соблюдения которых является предметом регионального государственного контроля (надзора), а также тексты соответствующих нормативных правовых актов» раздела «Контрольно-надзорная деятельность» п</w:t>
      </w:r>
      <w:r>
        <w:rPr>
          <w:rFonts w:ascii="Times New Roman" w:hAnsi="Times New Roman" w:cs="Times New Roman"/>
          <w:sz w:val="28"/>
          <w:szCs w:val="28"/>
        </w:rPr>
        <w:t xml:space="preserve">еречня нормативных </w:t>
      </w:r>
      <w:r>
        <w:rPr>
          <w:rFonts w:ascii="Times New Roman" w:hAnsi="Times New Roman" w:cs="Times New Roman"/>
          <w:sz w:val="28"/>
          <w:szCs w:val="28"/>
        </w:rPr>
        <w:t xml:space="preserve">правовых актов или их отдельных частей, содержащих обязательные требования, оценка соблюдения которых является предметом регионального государственного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строительного надзора (далее – Перечень нормативных правовых актов). Актуализация перечня нормативных пр</w:t>
      </w:r>
      <w:r>
        <w:rPr>
          <w:rFonts w:ascii="Times New Roman" w:hAnsi="Times New Roman" w:cs="Times New Roman"/>
          <w:sz w:val="28"/>
          <w:szCs w:val="28"/>
        </w:rPr>
        <w:t xml:space="preserve">авовых актов осуществлялась посредством своевременного внесения в него изменений и дополнений в связи с вновь выявленными обязательными требованиями или изменениями в нормативно-правовом регулировании. По результатам постоянного мониторинга выявленных и вн</w:t>
      </w:r>
      <w:r>
        <w:rPr>
          <w:rFonts w:ascii="Times New Roman" w:hAnsi="Times New Roman" w:cs="Times New Roman"/>
          <w:sz w:val="28"/>
          <w:szCs w:val="28"/>
        </w:rPr>
        <w:t xml:space="preserve">овь принимаемых актов, устанавливающих обязательные требования в сфере регионального государственного строитель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ного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 w:themeFill="background1"/>
        </w:rPr>
        <w:t xml:space="preserve"> надзора, 22.03.2022 внесены изменения в Перечень нормативных правовых актов приказом инспекции № 16 (размещен </w:t>
      </w:r>
      <w:r>
        <w:rPr>
          <w:rFonts w:ascii="Times New Roman" w:hAnsi="Times New Roman" w:cs="Times New Roman"/>
          <w:bCs/>
          <w:sz w:val="28"/>
          <w:szCs w:val="28"/>
          <w:highlight w:val="white"/>
          <w:shd w:val="clear" w:color="auto" w:fill="ffffff" w:themeFill="background1"/>
        </w:rPr>
        <w:t xml:space="preserve">на официальном сайте инспе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кции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 в сети «Интернет» по адресу: </w:t>
      </w:r>
      <w:hyperlink r:id="rId20" w:tooltip="https://gsn.nso.ru/page/550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https://gsn.nso.ru/page/550</w:t>
        </w:r>
      </w:hyperlink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eeece1" w:themeFill="background2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официальном сайте инспекции в сети «Интернет» по адресу: </w:t>
      </w:r>
      <w:hyperlink r:id="rId21" w:tooltip="https://gsn.nso.ru/page/550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https://gsn.nso.ru/page/550</w:t>
        </w:r>
      </w:hyperlink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,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действует подписка пользователей официального сайта на получение автоматических уведомлений о внесении изменений в Перечень правовых актов, перечень обязательных требований, а также подписки на иные информацио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нные рассылки органа государственного контроля (надзора) по вопросам применения и толкования им правовых актов, их отдельных частей, обязательных требований, включенных 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 xml:space="preserve">еречень нормативных правовых актов;</w:t>
      </w: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eeece1" w:themeFill="background2"/>
        </w:rPr>
      </w:r>
      <w:r>
        <w:rPr>
          <w:rFonts w:ascii="Times New Roman" w:hAnsi="Times New Roman" w:cs="Times New Roman"/>
          <w:bCs/>
          <w:sz w:val="28"/>
          <w:szCs w:val="28"/>
          <w:u w:val="single"/>
          <w:shd w:val="clear" w:color="auto" w:fill="eeece1" w:themeFill="background2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2) обеспечения информационной открытости контрол</w:t>
      </w:r>
      <w:r>
        <w:rPr>
          <w:rFonts w:ascii="Times New Roman" w:hAnsi="Times New Roman" w:cs="Times New Roman"/>
          <w:bCs/>
          <w:sz w:val="28"/>
          <w:szCs w:val="28"/>
        </w:rPr>
        <w:t xml:space="preserve">ьно-надзорной деятельности путем размещения на официальном сайте инспекции в сети «Интернет»: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- реестра </w:t>
      </w:r>
      <w:r>
        <w:rPr>
          <w:rFonts w:ascii="Times New Roman" w:hAnsi="Times New Roman" w:cs="Times New Roman"/>
          <w:sz w:val="28"/>
          <w:szCs w:val="28"/>
        </w:rPr>
        <w:t xml:space="preserve">объектов капитального строительства, в отношении строительства, реконструкции которых осуществляется региональный государственный строительный надзор по адресу: </w:t>
      </w:r>
      <w:hyperlink r:id="rId22" w:tooltip="https://gsn.nso.ru/page/549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https://gsn.nso.ru</w:t>
        </w:r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/page/549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;</w:t>
      </w:r>
      <w:r>
        <w:rPr>
          <w:rFonts w:ascii="Times New Roman" w:hAnsi="Times New Roman" w:cs="Times New Roman"/>
          <w:bCs/>
          <w:sz w:val="28"/>
          <w:szCs w:val="28"/>
          <w:u w:val="single"/>
        </w:rPr>
      </w:r>
      <w:r>
        <w:rPr>
          <w:rFonts w:ascii="Times New Roman" w:hAnsi="Times New Roman" w:cs="Times New Roman"/>
          <w:bCs/>
          <w:sz w:val="28"/>
          <w:szCs w:val="28"/>
          <w:u w:val="single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в новостной ленте на официальном сайте инспекции сведений о содержании новых нормативных правовых актов, устанавливающих обязательные требования, по адресу: </w:t>
      </w:r>
      <w:hyperlink r:id="rId23" w:tooltip="https://gsn.nso.ru/news" w:history="1">
        <w:r>
          <w:rPr>
            <w:rStyle w:val="886"/>
            <w:rFonts w:ascii="Times New Roman" w:hAnsi="Times New Roman" w:cs="Times New Roman"/>
            <w:sz w:val="28"/>
            <w:szCs w:val="28"/>
            <w:shd w:val="clear" w:color="auto" w:fill="ffffff" w:themeFill="background1"/>
          </w:rPr>
          <w:t xml:space="preserve">https://gsn.nso.</w:t>
        </w:r>
        <w:r>
          <w:rPr>
            <w:rStyle w:val="886"/>
            <w:rFonts w:ascii="Times New Roman" w:hAnsi="Times New Roman" w:cs="Times New Roman"/>
            <w:sz w:val="28"/>
            <w:szCs w:val="28"/>
            <w:shd w:val="clear" w:color="auto" w:fill="ffffff" w:themeFill="background1"/>
          </w:rPr>
          <w:t xml:space="preserve">ru/news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bCs/>
          <w:sz w:val="24"/>
          <w:szCs w:val="24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анализа текущего состояния поднадзорной среды, обобщения и анализа правоприменительной практики (ежеквартально), по адресу: </w:t>
      </w:r>
      <w:hyperlink r:id="rId24" w:tooltip="https://gsn.nso.ru/page/338" w:history="1">
        <w:r>
          <w:rPr>
            <w:rStyle w:val="886"/>
            <w:rFonts w:ascii="Times New Roman" w:hAnsi="Times New Roman" w:eastAsia="Times New Roman"/>
            <w:sz w:val="28"/>
            <w:szCs w:val="28"/>
            <w:shd w:val="clear" w:color="auto" w:fill="ffffff" w:themeFill="background1"/>
            <w:lang w:eastAsia="ru-RU"/>
          </w:rPr>
          <w:t xml:space="preserve">https://gsn.nso.ru/page/338</w:t>
        </w:r>
      </w:hyperlink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3) обеспечения информирования контролируемых лиц по вопросам соблюдения обязательных требований, в том числе посредством разработки и опубликования р</w:t>
      </w:r>
      <w:r>
        <w:rPr>
          <w:rFonts w:ascii="Times New Roman" w:hAnsi="Times New Roman" w:cs="Times New Roman"/>
          <w:bCs/>
          <w:sz w:val="28"/>
          <w:szCs w:val="28"/>
        </w:rPr>
        <w:t xml:space="preserve">уководства по соблюдению обязательных требований в сфере строительства, проверяемых инспекцией государствен</w:t>
      </w:r>
      <w:r>
        <w:rPr>
          <w:rFonts w:ascii="Times New Roman" w:hAnsi="Times New Roman" w:cs="Times New Roman"/>
          <w:bCs/>
          <w:sz w:val="28"/>
          <w:szCs w:val="28"/>
        </w:rPr>
        <w:t xml:space="preserve">ного строительного надзора Новосибирской области при осуществлении регионального государственного строительного надзора, по адресу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: </w:t>
      </w:r>
      <w:hyperlink r:id="rId25" w:tooltip="http://gsn.nso.ru/page/329" w:history="1">
        <w:r>
          <w:rPr>
            <w:rStyle w:val="886"/>
            <w:rFonts w:ascii="Times New Roman" w:hAnsi="Times New Roman" w:cs="Times New Roman"/>
            <w:bCs/>
            <w:sz w:val="28"/>
            <w:szCs w:val="28"/>
            <w:shd w:val="clear" w:color="auto" w:fill="ffffff" w:themeFill="background1"/>
          </w:rPr>
          <w:t xml:space="preserve">http://gsn.nso.ru/page/329</w:t>
        </w:r>
      </w:hyperlink>
      <w:r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;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</w:t>
      </w:r>
      <w: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объявления 225 пре</w:t>
      </w:r>
      <w:r>
        <w:rPr>
          <w:rFonts w:ascii="Times New Roman" w:hAnsi="Times New Roman" w:cs="Times New Roman"/>
          <w:sz w:val="28"/>
          <w:szCs w:val="28"/>
        </w:rPr>
        <w:t xml:space="preserve">достережений о недопустимости нарушений обязательных требований;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5) оказания </w:t>
      </w:r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1012 консультаций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 вопросам, связанным с организацией                 и осуществлением регионального государственного строительного надзора;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6) проведения 140 профилактических 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изитов;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 xml:space="preserve">7) внесения должностными лицами инспекции, информации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в единый реестр контрольных (надзорных) мероприятий в соответствии с правилами формирования и ведения единого реестра контрольных (надзорных) мероприятий, утвержденными постановлением Правительс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тва Российской Федерации от 16 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 w:themeFill="background1"/>
        </w:rPr>
        <w:t xml:space="preserve">апреля 2021 г. № 604;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8) 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проведения </w:t>
      </w:r>
      <w:r>
        <w:rPr>
          <w:rFonts w:ascii="Times New Roman" w:hAnsi="Times New Roman" w:cs="Times New Roman"/>
          <w:bCs/>
          <w:sz w:val="28"/>
          <w:szCs w:val="28"/>
          <w:highlight w:val="white"/>
          <w:shd w:val="clear" w:color="auto" w:fill="ffffff" w:themeFill="background1"/>
        </w:rPr>
        <w:t xml:space="preserve">публичного мероприятия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 в форме 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«д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ня открытых дверей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»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для представителей строительной отрасли. 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 w:themeFill="background1"/>
        </w:rPr>
        <w:t xml:space="preserve">Ключевой темой стали вопросы системной трансформации строительной отрасли, в том числе за счёт внедрения цифровых инструментов, а также актуальные изменения законодательства в строительной сфере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(информация о результатах проведения размещена по адресу: </w:t>
      </w:r>
      <w:hyperlink r:id="rId26" w:tooltip="https://gsn.nso.ru/page/994" w:history="1">
        <w:r>
          <w:rPr>
            <w:rStyle w:val="886"/>
            <w:rFonts w:ascii="Times New Roman" w:hAnsi="Times New Roman" w:cs="Times New Roman"/>
            <w:sz w:val="28"/>
            <w:szCs w:val="28"/>
            <w:highlight w:val="white"/>
          </w:rPr>
          <w:t xml:space="preserve">https://gsn.nso.ru/page/994</w:t>
        </w:r>
      </w:hyperlink>
      <w:r>
        <w:rPr>
          <w:rFonts w:ascii="Times New Roman" w:hAnsi="Times New Roman" w:cs="Times New Roman"/>
          <w:sz w:val="28"/>
          <w:szCs w:val="28"/>
          <w:highlight w:val="white"/>
        </w:rPr>
        <w:t xml:space="preserve">);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 w:themeFill="background1"/>
        <w:rPr>
          <w:rFonts w:ascii="Times New Roman" w:hAnsi="Times New Roman" w:cs="Times New Roman"/>
          <w:bCs/>
          <w:color w:val="000000" w:themeColor="text1"/>
          <w:sz w:val="28"/>
          <w:szCs w:val="28"/>
          <w:highlight w:val="white"/>
        </w:rPr>
      </w:pPr>
      <w:r>
        <w:rPr>
          <w:rStyle w:val="886"/>
          <w:rFonts w:ascii="Times New Roman" w:hAnsi="Times New Roman" w:cs="Times New Roman"/>
          <w:color w:val="000000" w:themeColor="text1"/>
          <w:sz w:val="28"/>
          <w:szCs w:val="28"/>
          <w:highlight w:val="white"/>
          <w:u w:val="none"/>
        </w:rPr>
        <w:t xml:space="preserve">9) </w:t>
      </w:r>
      <w:r>
        <w:rPr>
          <w:rFonts w:ascii="Times New Roman" w:hAnsi="Times New Roman" w:eastAsia="Times New Roman" w:cs="Times New Roman"/>
          <w:color w:val="000000"/>
          <w:sz w:val="28"/>
          <w:highlight w:val="white"/>
        </w:rPr>
        <w:t xml:space="preserve">проведения внепланового публичного мероприятия в форме семинара-совещания в режиме ВКС с представителями администраций муниципальных районов Новосибирской области, в </w:t>
      </w:r>
      <w:r>
        <w:rPr>
          <w:rFonts w:ascii="Times New Roman" w:hAnsi="Times New Roman" w:eastAsia="Times New Roman" w:cs="Times New Roman"/>
          <w:color w:val="000000"/>
          <w:sz w:val="28"/>
          <w:highlight w:val="white"/>
        </w:rPr>
        <w:t xml:space="preserve">ходе</w:t>
      </w:r>
      <w:r>
        <w:rPr>
          <w:rFonts w:ascii="Times New Roman" w:hAnsi="Times New Roman" w:eastAsia="Times New Roman" w:cs="Times New Roman"/>
          <w:color w:val="000000"/>
          <w:sz w:val="28"/>
          <w:highlight w:val="white"/>
        </w:rPr>
        <w:t xml:space="preserve"> которого рассмотрены практические вопросы осуществления регионального государственног</w:t>
      </w:r>
      <w:r>
        <w:rPr>
          <w:rFonts w:ascii="Times New Roman" w:hAnsi="Times New Roman" w:eastAsia="Times New Roman" w:cs="Times New Roman"/>
          <w:color w:val="000000"/>
          <w:sz w:val="28"/>
          <w:highlight w:val="white"/>
        </w:rPr>
        <w:t xml:space="preserve">о строительного надзора, в том числе работа с индикаторами рисков, подача извещений о начале строительства через ЕПГУ, работа с системой досудебного обжалования и др.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highlight w:val="white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highlight w:val="white"/>
        </w:rPr>
      </w:r>
    </w:p>
    <w:p>
      <w:pPr>
        <w:ind w:firstLine="708"/>
        <w:jc w:val="both"/>
        <w:spacing w:after="0" w:line="240" w:lineRule="auto"/>
        <w:shd w:val="clear" w:color="auto" w:fill="ffffff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highlight w:val="white"/>
          <w:lang w:eastAsia="ru-RU"/>
        </w:rPr>
        <w:t xml:space="preserve">Инспекция обеспечивает достоверность и актуальность всей инфо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рмации, связанной с профилактикой нарушений обязательных требований.</w:t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Контролируемые лица имеют возможность использовать информационные технологии. Например, посредством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размещения электронной формы для обратной связи по вопросам, связанным с содержанием, в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едением и применением перечня обязательных требований.</w:t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официальном сайте инспекции в сети «Интернет» по адресу: </w:t>
      </w:r>
      <w:hyperlink r:id="rId27" w:tooltip="http://gsn.nso.ru/page/550" w:history="1">
        <w:r>
          <w:rPr>
            <w:rStyle w:val="886"/>
            <w:rFonts w:ascii="Times New Roman" w:hAnsi="Times New Roman" w:cs="Times New Roman"/>
            <w:color w:val="auto"/>
            <w:sz w:val="28"/>
            <w:szCs w:val="28"/>
            <w:shd w:val="clear" w:color="auto" w:fill="ffffff" w:themeFill="background1"/>
          </w:rPr>
          <w:t xml:space="preserve">http://gsn.nso.ru/page/550</w:t>
        </w:r>
      </w:hyperlink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, в том числе в подразделе «Обязательные</w:t>
      </w:r>
      <w:r>
        <w:rPr>
          <w:rFonts w:ascii="Times New Roman" w:hAnsi="Times New Roman" w:eastAsia="Times New Roman"/>
          <w:sz w:val="28"/>
          <w:szCs w:val="28"/>
          <w:shd w:val="clear" w:color="auto" w:fill="ffffff" w:themeFill="background1"/>
          <w:lang w:eastAsia="ru-RU"/>
        </w:rPr>
        <w:t xml:space="preserve"> требования, соблюдение которых оценивается в рамках проведения контрольно-надзорного мероприятия»,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действует подписка пользователей официального сайта инспекции в сети «Интернет» на рассылку электронных сообщений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 информацией связанной с профилактикой на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рушений обязательных требований, а так же иной информации важной для контролируемых лиц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cs="Times New Roman"/>
          <w:sz w:val="28"/>
          <w:szCs w:val="28"/>
          <w:u w:val="single"/>
        </w:rPr>
      </w:r>
      <w:r>
        <w:rPr>
          <w:rFonts w:ascii="Times New Roman" w:hAnsi="Times New Roman" w:cs="Times New Roman"/>
          <w:sz w:val="28"/>
          <w:szCs w:val="28"/>
          <w:u w:val="single"/>
        </w:rPr>
      </w:r>
    </w:p>
    <w:p>
      <w:pPr>
        <w:pStyle w:val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1.4. Характеристика проблем, на решение которых направлена программа профилактики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sz w:val="18"/>
          <w:szCs w:val="28"/>
        </w:rPr>
      </w:r>
      <w:r>
        <w:rPr>
          <w:rFonts w:ascii="Times New Roman" w:hAnsi="Times New Roman" w:cs="Times New Roman"/>
          <w:sz w:val="18"/>
          <w:szCs w:val="28"/>
        </w:rPr>
      </w:r>
      <w:r>
        <w:rPr>
          <w:rFonts w:ascii="Times New Roman" w:hAnsi="Times New Roman" w:cs="Times New Roman"/>
          <w:sz w:val="18"/>
          <w:szCs w:val="28"/>
        </w:rPr>
      </w:r>
    </w:p>
    <w:p>
      <w:pPr>
        <w:ind w:firstLine="708"/>
        <w:jc w:val="both"/>
        <w:spacing w:after="0" w:line="240" w:lineRule="auto"/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Ключевой проблемой являются потенциальные негативные последствия возможного несоблюд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ения контролируемыми лицами обязательных требований при строительстве, реконструкции объектов капитального строительства</w:t>
      </w:r>
      <w:r>
        <w:t xml:space="preserve">.</w:t>
      </w:r>
      <w:r/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Причиной возникновения ключевой проблемы являются: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недостаточно сформированное понимание обязательных требований в области градостро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ительной деятельности;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недостаточная правовая грамотность контролируемых лиц;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неудовлетворительная организация строительного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контроля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как застройщика (технического заказчика), так и лица, осуществляющего строительство;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 нарушения в области строительного производства.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708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1.5. Обоснование целесообразности и возможности решения проблемы                    с помощью мероприятий программы профилактики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</w:r>
    </w:p>
    <w:p>
      <w:pPr>
        <w:ind w:firstLine="53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Основная направленность профилактической работы должна быть связана с повыше</w:t>
      </w:r>
      <w:r>
        <w:rPr>
          <w:rFonts w:ascii="Times New Roman" w:hAnsi="Times New Roman" w:cs="Times New Roman"/>
          <w:sz w:val="28"/>
          <w:szCs w:val="28"/>
        </w:rPr>
        <w:t xml:space="preserve">нием информированности застройщиков, технических заказчиков и лиц, </w:t>
      </w:r>
      <w:r>
        <w:rPr>
          <w:rFonts w:ascii="Times New Roman" w:hAnsi="Times New Roman" w:cs="Times New Roman"/>
          <w:sz w:val="28"/>
          <w:szCs w:val="28"/>
        </w:rPr>
        <w:t xml:space="preserve">осуществляющих строительство и реконструкцию объектов капитального строительства, в области градостроительной деятельности. В данной связи большое значение имеют профилактические меры по ин</w:t>
      </w:r>
      <w:r>
        <w:rPr>
          <w:rFonts w:ascii="Times New Roman" w:hAnsi="Times New Roman" w:cs="Times New Roman"/>
          <w:sz w:val="28"/>
          <w:szCs w:val="28"/>
        </w:rPr>
        <w:t xml:space="preserve">формированию контролируемых лиц по вопросам соблюдения обязательных требований.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Участие контролируемых лиц в мероприятиях программы профилактики будет способствовать более открытому взаимодействию с контролируемыми лицами в целях достижения общего для всех</w:t>
      </w:r>
      <w:r>
        <w:rPr>
          <w:rFonts w:ascii="Times New Roman" w:hAnsi="Times New Roman"/>
          <w:sz w:val="28"/>
          <w:szCs w:val="28"/>
        </w:rPr>
        <w:t xml:space="preserve"> сторон результата – снижение рисков причинения вреда охраняемым законом ценностям и отвечает потребностям предпринимательской среды в получении качественной и доступной информации по возникающим вопросам соблюдения обязательных требований.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>
        <w:rPr>
          <w:rFonts w:ascii="Times New Roman" w:hAnsi="Times New Roman" w:cs="Times New Roman"/>
          <w:sz w:val="28"/>
          <w:szCs w:val="28"/>
        </w:rPr>
        <w:t xml:space="preserve">можно выделить следующие варианты решения проблемы: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формирование понимания обязательных требований в сфере строительства у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адаптация форм информирования контролируемых лиц по вопросам соблюдения обязательных требований в сфере строи</w:t>
      </w:r>
      <w:r>
        <w:rPr>
          <w:rFonts w:ascii="Times New Roman" w:hAnsi="Times New Roman" w:cs="Times New Roman"/>
          <w:sz w:val="28"/>
          <w:szCs w:val="28"/>
        </w:rPr>
        <w:t xml:space="preserve">тельства для эффективного восприятия контролируемыми лицами;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уровня информированности контролируемых лиц по вопросам соблюдения обязательных требований в сфере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обеспечение доступности сведений о применении обязательных требований в сфере строительства, основных ошибках при их применении и способах их предотвращения;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функционирование системы обратной связи с контролируемыми лицами по вопросам применения обязат</w:t>
      </w:r>
      <w:r>
        <w:rPr>
          <w:rFonts w:ascii="Times New Roman" w:hAnsi="Times New Roman" w:cs="Times New Roman"/>
          <w:sz w:val="28"/>
          <w:szCs w:val="28"/>
        </w:rPr>
        <w:t xml:space="preserve">ельных требований, в том числе с использованием современных информационно-телекоммуникационных технологий;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осуществление превентивного разъяснения контролируемым лицам обязательных требований в сфере строительства;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обеспечение устойчивого взаимодействи</w:t>
      </w:r>
      <w:r>
        <w:rPr>
          <w:rFonts w:ascii="Times New Roman" w:hAnsi="Times New Roman" w:cs="Times New Roman"/>
          <w:sz w:val="28"/>
          <w:szCs w:val="28"/>
        </w:rPr>
        <w:t xml:space="preserve">я, основанного на диалоге, с контролируемыми лицами и повышение уровня доверия контролируемых лиц к инспекции.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решения проблемы, на выполнение которой направлена программа профилактики, инспекцией определен перечень профилактических мероприятий. Реализ</w:t>
      </w:r>
      <w:r>
        <w:rPr>
          <w:rFonts w:ascii="Times New Roman" w:hAnsi="Times New Roman" w:cs="Times New Roman"/>
          <w:sz w:val="28"/>
          <w:szCs w:val="28"/>
        </w:rPr>
        <w:t xml:space="preserve">ация указанных мероприятий обеспечивает решение поставленных задач и достижение поставленных целей программы профилактики.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Программные мероприятия определены в соответствии с положениями статей 45-47, 49, 50, 52 Федерального закона № 248-ФЗ и включают в се</w:t>
      </w:r>
      <w:r>
        <w:rPr>
          <w:rFonts w:ascii="Times New Roman" w:hAnsi="Times New Roman" w:cs="Times New Roman"/>
          <w:sz w:val="28"/>
          <w:szCs w:val="28"/>
        </w:rPr>
        <w:t xml:space="preserve">бя мероприятия по следующим направлениям: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 информирование контролируемых лиц и иных заинтересованных лиц по вопросам соблюдения обязательных требований, посредством размещения соответствующих сведений на официальном сайте инспекции в сети «Интернет», в с</w:t>
      </w:r>
      <w:r>
        <w:rPr>
          <w:rFonts w:ascii="Times New Roman" w:hAnsi="Times New Roman" w:cs="Times New Roman"/>
          <w:sz w:val="28"/>
          <w:szCs w:val="28"/>
        </w:rPr>
        <w:t xml:space="preserve">редствах массовой информации, через личные кабинеты контролируемых лиц в государственных информационных системах (при их наличии) и в иных формах;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обобщение правоприменительной практики с подготовкой доклада, содержащего соответствующие обобщения;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 об</w:t>
      </w:r>
      <w:r>
        <w:rPr>
          <w:rFonts w:ascii="Times New Roman" w:hAnsi="Times New Roman" w:cs="Times New Roman"/>
          <w:sz w:val="28"/>
          <w:szCs w:val="28"/>
        </w:rPr>
        <w:t xml:space="preserve">ъявление предостережения о недопустимости нарушения обязательных требований;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 осуществление консультирования по обращениям контролируемых лиц и их представителей;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 проведение инспектором профилактического визита в форме профилактической беседы по месту</w:t>
      </w:r>
      <w:r>
        <w:rPr>
          <w:rFonts w:ascii="Times New Roman" w:hAnsi="Times New Roman" w:cs="Times New Roman"/>
          <w:sz w:val="28"/>
          <w:szCs w:val="28"/>
        </w:rPr>
        <w:t xml:space="preserve"> осуществления деятельности контролируемого лица либо путем использования видео-конференц-связи.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осуществлении  регионального государственного строительного надзора проведение профилактических мероприятий, направленных на снижение риска причинения вред</w:t>
      </w:r>
      <w:r>
        <w:rPr>
          <w:rFonts w:ascii="Times New Roman" w:hAnsi="Times New Roman" w:cs="Times New Roman"/>
          <w:sz w:val="28"/>
          <w:szCs w:val="28"/>
        </w:rPr>
        <w:t xml:space="preserve">а (ущерба), является приоритетным по отношению к проведению контрольных (надзорных)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Основной проблемой, которая должна быть решена при реализации программы профилактики, является низкий уровень правовой грамотности контролируемых лиц, который </w:t>
      </w:r>
      <w:r>
        <w:rPr>
          <w:rFonts w:ascii="Times New Roman" w:hAnsi="Times New Roman" w:cs="Times New Roman"/>
          <w:sz w:val="28"/>
          <w:szCs w:val="28"/>
        </w:rPr>
        <w:t xml:space="preserve">может привести к причинению вреда охраняемым законом ценностям.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профилактических мероприятий в виде информирования, консультаций, выдачи предостережений,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проведения инспектором профилактического визита, предполагает </w:t>
      </w:r>
      <w:r>
        <w:rPr>
          <w:rFonts w:ascii="Times New Roman" w:hAnsi="Times New Roman" w:cs="Times New Roman"/>
          <w:sz w:val="28"/>
          <w:szCs w:val="28"/>
        </w:rPr>
        <w:t xml:space="preserve">отсутствие мер административн</w:t>
      </w:r>
      <w:r>
        <w:rPr>
          <w:rFonts w:ascii="Times New Roman" w:hAnsi="Times New Roman" w:cs="Times New Roman"/>
          <w:sz w:val="28"/>
          <w:szCs w:val="28"/>
        </w:rPr>
        <w:t xml:space="preserve">ого воздействия, является мерой, способствующей снижению административных и финансовых издержек контролируемых лиц.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Ожидаемые конечные результаты реализации программы профилактики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снижение рисков причинения вреда охраняемым законом ценностям;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увеличение доли законопослушных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развитие системы профилактических мероприятий инспекции;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прозрачности деятельности инспекции;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уменьшение административной нагрузки на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уровня правовой грам</w:t>
      </w:r>
      <w:r>
        <w:rPr>
          <w:rFonts w:ascii="Times New Roman" w:hAnsi="Times New Roman" w:cs="Times New Roman"/>
          <w:sz w:val="28"/>
          <w:szCs w:val="28"/>
        </w:rPr>
        <w:t xml:space="preserve">отности контролируемых лиц;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повышение уровня информированности контролируемых лиц об обязательных требованиях в сфере строительства.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1.6. Описание текущих и ожидаемых тенденций, которые могут оказать воздействие на состояние подконтрольной сферы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Текущими тенденциями, которые могут оказать воздействие на состояние подконтрольной сферы, является: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санкционное</w:t>
      </w:r>
      <w:r>
        <w:rPr>
          <w:rFonts w:ascii="Times New Roman" w:hAnsi="Times New Roman" w:cs="Times New Roman"/>
          <w:sz w:val="28"/>
          <w:szCs w:val="28"/>
        </w:rPr>
        <w:t xml:space="preserve"> давление в отношении Российской Федерации;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4"/>
        <w:contextualSpacing w:val="0"/>
        <w:ind w:left="0"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ограничительные меры, которые приводят к снижению деловой активности, а также к затруднениям т</w:t>
      </w:r>
      <w:r>
        <w:rPr>
          <w:rFonts w:ascii="Times New Roman" w:hAnsi="Times New Roman" w:cs="Times New Roman"/>
          <w:sz w:val="28"/>
          <w:szCs w:val="28"/>
        </w:rPr>
        <w:t xml:space="preserve">рансграничных поставок;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нестабильность поставок приводит к росту цен на строительные материалы и комплектующие;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4"/>
        <w:contextualSpacing w:val="0"/>
        <w:ind w:left="0"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вынужденные изменения условий, на которых были заключены государственные строительные контракты, договоры строительного подряда, в том чис</w:t>
      </w:r>
      <w:r>
        <w:rPr>
          <w:rFonts w:ascii="Times New Roman" w:hAnsi="Times New Roman" w:cs="Times New Roman"/>
          <w:sz w:val="28"/>
          <w:szCs w:val="28"/>
        </w:rPr>
        <w:t xml:space="preserve">ле изменение проектных решений, в связи с ростом стоимости строительства и вынужденными переносами сроков производства строительных </w:t>
      </w:r>
      <w:r>
        <w:rPr>
          <w:rFonts w:ascii="Times New Roman" w:hAnsi="Times New Roman" w:cs="Times New Roman"/>
          <w:sz w:val="28"/>
          <w:szCs w:val="28"/>
        </w:rPr>
        <w:t xml:space="preserve">работ;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 приостановка строительства, реконструкции объектов более чем на 6 месяцев, консервация объектов капитального строи</w:t>
      </w:r>
      <w:r>
        <w:rPr>
          <w:rFonts w:ascii="Times New Roman" w:hAnsi="Times New Roman" w:cs="Times New Roman"/>
          <w:sz w:val="28"/>
          <w:szCs w:val="28"/>
        </w:rPr>
        <w:t xml:space="preserve">тельства;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-1"/>
        <w:jc w:val="both"/>
        <w:spacing w:after="0" w:line="240" w:lineRule="auto"/>
        <w:widowControl w:val="off"/>
        <w:tabs>
          <w:tab w:val="left" w:pos="709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 учетом существующей социально-экономической ситуации в строительной отрасли, очевидно, что указанные тенденции </w:t>
      </w:r>
      <w:r>
        <w:rPr>
          <w:rFonts w:ascii="Times New Roman" w:hAnsi="Times New Roman" w:cs="Times New Roman"/>
          <w:sz w:val="28"/>
          <w:szCs w:val="28"/>
        </w:rPr>
        <w:t xml:space="preserve">сохранятся</w:t>
      </w:r>
      <w:r>
        <w:rPr>
          <w:rFonts w:ascii="Times New Roman" w:hAnsi="Times New Roman" w:cs="Times New Roman"/>
          <w:sz w:val="28"/>
          <w:szCs w:val="28"/>
        </w:rPr>
        <w:t xml:space="preserve"> и будут оказывать влияние на осуществление надзорной деятельности и профилактическую работу инспекции в будущем.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08"/>
        <w:jc w:val="center"/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</w:pPr>
      <w:r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  <w:t xml:space="preserve">1.7. Оц</w:t>
      </w:r>
      <w:r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  <w:t xml:space="preserve">енка внешних условий и рисков при реализации программы профилактики</w:t>
      </w:r>
      <w:r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</w:r>
      <w:r>
        <w:rPr>
          <w:rFonts w:ascii="Times New Roman" w:hAnsi="Times New Roman" w:cs="Times New Roman" w:eastAsiaTheme="minorHAnsi"/>
          <w:bCs w:val="0"/>
          <w:color w:val="auto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 w:eastAsiaTheme="majorEastAsia"/>
          <w:b/>
          <w:bCs/>
          <w:color w:val="000000" w:themeColor="text1"/>
          <w:sz w:val="28"/>
          <w:szCs w:val="28"/>
        </w:rPr>
      </w:r>
    </w:p>
    <w:tbl>
      <w:tblPr>
        <w:tblStyle w:val="885"/>
        <w:tblW w:w="0" w:type="auto"/>
        <w:tblInd w:w="108" w:type="dxa"/>
        <w:tblLook w:val="04A0" w:firstRow="1" w:lastRow="0" w:firstColumn="1" w:lastColumn="0" w:noHBand="0" w:noVBand="1"/>
      </w:tblPr>
      <w:tblGrid>
        <w:gridCol w:w="993"/>
        <w:gridCol w:w="4394"/>
        <w:gridCol w:w="4536"/>
      </w:tblGrid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№ 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/п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Наименование риска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Мероприятия по предупреждению риска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1.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Существенное изменение законодательства Российской Федерации в области градостроительной деятельности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Мониторинг нормативных правовых актов (изменение, утрата юридической силы, принятие новых нормативных правовых актов)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2.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Недостаточность квалифицированных трудовых кадров, превышение нагрузки на инспекторский состав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Проведение анализа нагрузки на инспекто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рский состав, распределение функциональных особенностей, проведение обучающих семинаров с разъяснением направлений профилактической работы и рассмотрением предложений по оптимизации и повышению эффективности профилактических мероприятий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  <w:tr>
        <w:tblPrEx/>
        <w:trPr/>
        <w:tc>
          <w:tcPr>
            <w:tcW w:w="9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3.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394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Низкий уровень 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конструктивного диалогового взаимодействия контролируемых лиц и инспекции, в связи с отказом контролируемых лиц участвовать в профилактических мероприятиях, проводимых инспекцией.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  <w:tc>
          <w:tcPr>
            <w:tcW w:w="4536" w:type="dxa"/>
            <w:textDirection w:val="lrTb"/>
            <w:noWrap w:val="false"/>
          </w:tcPr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Информирование контролируемых лиц о возможности и способах использования инф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ормационных технологий.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  <w:p>
            <w:pP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pacing w:val="-10"/>
                <w:sz w:val="28"/>
                <w:szCs w:val="28"/>
              </w:rPr>
              <w:t xml:space="preserve">Выявление мнения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 контролируемых лиц по проблемам соблюдения обязательных требований, по качеству и полезности профилактической деятельности инспекции, учет подобных мнений при планировании профилактической работы в целом и организац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  <w:t xml:space="preserve">ии отдельных профилактических мероприятий</w:t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  <w:r>
              <w:rPr>
                <w:rFonts w:ascii="Times New Roman" w:hAnsi="Times New Roman" w:cs="Times New Roman" w:eastAsiaTheme="majorEastAsia"/>
                <w:bCs/>
                <w:color w:val="000000" w:themeColor="text1"/>
                <w:sz w:val="28"/>
                <w:szCs w:val="28"/>
              </w:rPr>
            </w:r>
          </w:p>
        </w:tc>
      </w:tr>
    </w:tbl>
    <w:p>
      <w:pPr>
        <w:rPr>
          <w:sz w:val="4"/>
        </w:rPr>
      </w:pPr>
      <w:r>
        <w:rPr>
          <w:sz w:val="4"/>
        </w:rPr>
      </w:r>
      <w:r>
        <w:rPr>
          <w:sz w:val="4"/>
        </w:rPr>
      </w:r>
      <w:r>
        <w:rPr>
          <w:sz w:val="4"/>
        </w:rPr>
      </w:r>
    </w:p>
    <w:p>
      <w:pPr>
        <w:pStyle w:val="883"/>
        <w:ind w:firstLine="708"/>
        <w:jc w:val="both"/>
        <w:rPr>
          <w:color w:val="auto"/>
          <w:sz w:val="20"/>
          <w:szCs w:val="28"/>
        </w:rPr>
      </w:pPr>
      <w:r>
        <w:rPr>
          <w:color w:val="auto"/>
          <w:sz w:val="20"/>
          <w:szCs w:val="28"/>
        </w:rPr>
      </w:r>
      <w:r>
        <w:rPr>
          <w:color w:val="auto"/>
          <w:sz w:val="20"/>
          <w:szCs w:val="28"/>
        </w:rPr>
      </w:r>
      <w:r>
        <w:rPr>
          <w:color w:val="auto"/>
          <w:sz w:val="20"/>
          <w:szCs w:val="28"/>
        </w:rPr>
      </w:r>
    </w:p>
    <w:p>
      <w:pPr>
        <w:pStyle w:val="707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Раздел 2. Перечень профилактических мероприятий, сроки (периодичность) их проведения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0"/>
          <w:szCs w:val="28"/>
        </w:rPr>
      </w:r>
      <w:r>
        <w:rPr>
          <w:rFonts w:ascii="Times New Roman" w:hAnsi="Times New Roman" w:cs="Times New Roman"/>
          <w:sz w:val="20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которые надлежит </w:t>
      </w:r>
      <w:r>
        <w:rPr>
          <w:rFonts w:ascii="Times New Roman" w:hAnsi="Times New Roman" w:cs="Times New Roman"/>
          <w:sz w:val="28"/>
          <w:szCs w:val="28"/>
        </w:rPr>
        <w:t xml:space="preserve">реализовать для решения задач и целей программы профилактики приведен</w:t>
      </w:r>
      <w:r>
        <w:rPr>
          <w:rFonts w:ascii="Times New Roman" w:hAnsi="Times New Roman" w:cs="Times New Roman"/>
          <w:sz w:val="28"/>
          <w:szCs w:val="28"/>
        </w:rPr>
        <w:t xml:space="preserve"> в Плане-графике профилактических мероприятий на 2025 год (Приложение 1).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</w:p>
    <w:p>
      <w:pPr>
        <w:pStyle w:val="707"/>
        <w:jc w:val="center"/>
        <w:spacing w:before="0" w:line="240" w:lineRule="auto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Раздел 3. Показатели результативности и эффективности программы профилактики</w:t>
      </w:r>
      <w:r>
        <w:rPr>
          <w:rFonts w:ascii="Times New Roman" w:hAnsi="Times New Roman" w:cs="Times New Roman"/>
          <w:color w:val="000000" w:themeColor="text1"/>
        </w:rPr>
      </w:r>
      <w:r>
        <w:rPr>
          <w:rFonts w:ascii="Times New Roman" w:hAnsi="Times New Roman" w:cs="Times New Roman"/>
          <w:color w:val="000000" w:themeColor="text1"/>
        </w:rPr>
      </w:r>
    </w:p>
    <w:p>
      <w:pPr>
        <w:spacing w:after="0" w:line="240" w:lineRule="auto"/>
        <w:rPr>
          <w:sz w:val="16"/>
        </w:rPr>
      </w:pPr>
      <w:r>
        <w:rPr>
          <w:sz w:val="16"/>
        </w:rPr>
      </w:r>
      <w:r>
        <w:rPr>
          <w:sz w:val="16"/>
        </w:rPr>
      </w:r>
      <w:r>
        <w:rPr>
          <w:sz w:val="16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Ожидаемый социальный эффект профилактики может быть достигнут только в условиях конструктивного сотрудничества с контролируемыми лицами в постоянном режиме по вопросам соблюдения обязательных требований законодательства. Экономический эффект от реализованн</w:t>
      </w:r>
      <w:r>
        <w:rPr>
          <w:rFonts w:ascii="Times New Roman" w:hAnsi="Times New Roman" w:cs="Times New Roman"/>
          <w:sz w:val="28"/>
          <w:szCs w:val="28"/>
        </w:rPr>
        <w:t xml:space="preserve">ых мероприятий: минимизация ресурсных затрат всех участников контрольно-надзорной деятельности за счет снижения административного давления.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Программы осуществляется в рамках текущего финансирования деятельности инспекции, оценка эффективности ра</w:t>
      </w:r>
      <w:r>
        <w:rPr>
          <w:rFonts w:ascii="Times New Roman" w:hAnsi="Times New Roman" w:cs="Times New Roman"/>
          <w:sz w:val="28"/>
          <w:szCs w:val="28"/>
        </w:rPr>
        <w:t xml:space="preserve">сходования бюджетных сре</w:t>
      </w:r>
      <w:r>
        <w:rPr>
          <w:rFonts w:ascii="Times New Roman" w:hAnsi="Times New Roman" w:cs="Times New Roman"/>
          <w:sz w:val="28"/>
          <w:szCs w:val="28"/>
        </w:rPr>
        <w:t xml:space="preserve">дств пр</w:t>
      </w:r>
      <w:r>
        <w:rPr>
          <w:rFonts w:ascii="Times New Roman" w:hAnsi="Times New Roman" w:cs="Times New Roman"/>
          <w:sz w:val="28"/>
          <w:szCs w:val="28"/>
        </w:rPr>
        <w:t xml:space="preserve">и реализации программы не проводится.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Оценка эффективности реализации Программы определяется по количественным и качественным показателям. Оценка эффективности и результативности Программы осуществляется ежегодно. Результат </w:t>
      </w:r>
      <w:r>
        <w:rPr>
          <w:rFonts w:ascii="Times New Roman" w:hAnsi="Times New Roman" w:cs="Times New Roman"/>
          <w:sz w:val="28"/>
          <w:szCs w:val="28"/>
        </w:rPr>
        <w:t xml:space="preserve">такой оценки включается в доклад об итогах реализации программы.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Количественные показатели эффективности реализации Программы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</w:pPr>
      <w:r/>
      <w:r/>
    </w:p>
    <w:tbl>
      <w:tblPr>
        <w:tblStyle w:val="924"/>
        <w:tblW w:w="946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17"/>
        <w:gridCol w:w="7229"/>
        <w:gridCol w:w="1417"/>
      </w:tblGrid>
      <w:tr>
        <w:tblPrEx/>
        <w:trPr/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показателя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Плановое значение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>
          <w:trHeight w:val="112"/>
        </w:trPr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сроков выполнения мероприятий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100%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</w:tc>
      </w:tr>
      <w:tr>
        <w:tblPrEx/>
        <w:trPr/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публичных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2 шт.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</w:tc>
      </w:tr>
      <w:tr>
        <w:tblPrEx/>
        <w:trPr/>
        <w:tc>
          <w:tcPr>
            <w:tcW w:w="8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229" w:type="dxa"/>
            <w:textDirection w:val="lrTb"/>
            <w:noWrap w:val="false"/>
          </w:tcPr>
          <w:p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консультирований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1000 шт.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</w:p>
        </w:tc>
      </w:tr>
    </w:tbl>
    <w:p>
      <w:pPr>
        <w:ind w:firstLine="709"/>
        <w:jc w:val="both"/>
        <w:spacing w:after="0" w:line="240" w:lineRule="auto"/>
      </w:pPr>
      <w:r/>
      <w:r/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Качест</w:t>
      </w:r>
      <w:r>
        <w:rPr>
          <w:rFonts w:ascii="Times New Roman" w:hAnsi="Times New Roman" w:cs="Times New Roman"/>
          <w:sz w:val="28"/>
          <w:szCs w:val="28"/>
        </w:rPr>
        <w:t xml:space="preserve">венными показателями эффективности реализации Программы является удовлетворенность контролируемыми лицами качеством программных мероприятий. Оценка достижения таких показателей может осуществляться посредством проведения опросов по следующим направлениям: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знание контролируемыми лицами обязательных требований и правил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соблюдения;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достаточность количества проведенных профилактических мероприятий;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достаточный уровень качества проведенных профилактических мероприятий.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  <w:sectPr>
          <w:headerReference w:type="default" r:id="rId9"/>
          <w:footnotePr/>
          <w:endnotePr/>
          <w:type w:val="nextPage"/>
          <w:pgSz w:w="11906" w:h="16838" w:orient="portrait"/>
          <w:pgMar w:top="1134" w:right="566" w:bottom="851" w:left="1418" w:header="708" w:footer="708" w:gutter="0"/>
          <w:cols w:num="1" w:sep="0" w:space="708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07"/>
        <w:ind w:left="11340"/>
        <w:jc w:val="center"/>
        <w:spacing w:before="0" w:line="240" w:lineRule="auto"/>
        <w:rPr>
          <w:rFonts w:ascii="Times New Roman" w:hAnsi="Times New Roman" w:cs="Times New Roman"/>
          <w:b w:val="0"/>
          <w:color w:val="000000"/>
        </w:rPr>
      </w:pPr>
      <w:r>
        <w:rPr>
          <w:rFonts w:ascii="Times New Roman" w:hAnsi="Times New Roman" w:cs="Times New Roman"/>
          <w:b w:val="0"/>
          <w:color w:val="000000"/>
        </w:rPr>
        <w:t xml:space="preserve">ПРИЛОЖЕНИЕ № 1</w:t>
      </w:r>
      <w:r>
        <w:rPr>
          <w:rFonts w:ascii="Times New Roman" w:hAnsi="Times New Roman" w:cs="Times New Roman"/>
          <w:b w:val="0"/>
          <w:color w:val="000000"/>
        </w:rPr>
      </w:r>
      <w:r>
        <w:rPr>
          <w:rFonts w:ascii="Times New Roman" w:hAnsi="Times New Roman" w:cs="Times New Roman"/>
          <w:b w:val="0"/>
          <w:color w:val="000000"/>
        </w:rPr>
      </w:r>
    </w:p>
    <w:p>
      <w:pPr>
        <w:ind w:left="113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программе профилактики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707"/>
        <w:jc w:val="center"/>
        <w:spacing w:before="0" w:line="240" w:lineRule="auto"/>
        <w:rPr>
          <w:rFonts w:ascii="Times New Roman" w:hAnsi="Times New Roman" w:cs="Times New Roman" w:eastAsiaTheme="minorHAnsi"/>
          <w:bCs w:val="0"/>
          <w:color w:val="000000"/>
        </w:rPr>
      </w:pPr>
      <w:r>
        <w:rPr>
          <w:rFonts w:ascii="Times New Roman" w:hAnsi="Times New Roman" w:cs="Times New Roman" w:eastAsiaTheme="minorHAnsi"/>
          <w:bCs w:val="0"/>
          <w:color w:val="000000"/>
        </w:rPr>
        <w:t xml:space="preserve">План-график мероприятий по профилактике рисков причинения вреда (ущерба) охраняемым законом ценностям при осуществлении регионального государственного строительного надзора на территории Новосибирской области</w:t>
      </w:r>
      <w:r>
        <w:rPr>
          <w:rFonts w:ascii="Times New Roman" w:hAnsi="Times New Roman" w:cs="Times New Roman" w:eastAsiaTheme="minorHAnsi"/>
          <w:bCs w:val="0"/>
          <w:color w:val="000000"/>
        </w:rPr>
      </w:r>
      <w:r>
        <w:rPr>
          <w:rFonts w:ascii="Times New Roman" w:hAnsi="Times New Roman" w:cs="Times New Roman" w:eastAsiaTheme="minorHAnsi"/>
          <w:bCs w:val="0"/>
          <w:color w:val="000000"/>
        </w:rPr>
      </w:r>
    </w:p>
    <w:p>
      <w:pPr>
        <w:pStyle w:val="707"/>
        <w:jc w:val="center"/>
        <w:spacing w:before="0" w:line="240" w:lineRule="auto"/>
        <w:rPr>
          <w:rFonts w:ascii="Times New Roman" w:hAnsi="Times New Roman" w:cs="Times New Roman" w:eastAsiaTheme="minorHAnsi"/>
          <w:bCs w:val="0"/>
          <w:color w:val="000000"/>
        </w:rPr>
      </w:pPr>
      <w:r>
        <w:rPr>
          <w:rFonts w:ascii="Times New Roman" w:hAnsi="Times New Roman" w:cs="Times New Roman" w:eastAsiaTheme="minorHAnsi"/>
          <w:bCs w:val="0"/>
          <w:color w:val="000000"/>
        </w:rPr>
        <w:t xml:space="preserve">на 2025</w:t>
      </w:r>
      <w:r>
        <w:rPr>
          <w:rFonts w:ascii="Times New Roman" w:hAnsi="Times New Roman" w:cs="Times New Roman" w:eastAsiaTheme="minorHAnsi"/>
          <w:bCs w:val="0"/>
          <w:color w:val="000000"/>
          <w:lang w:val="en-US"/>
        </w:rPr>
        <w:t xml:space="preserve"> </w:t>
      </w:r>
      <w:r>
        <w:rPr>
          <w:rFonts w:ascii="Times New Roman" w:hAnsi="Times New Roman" w:cs="Times New Roman" w:eastAsiaTheme="minorHAnsi"/>
          <w:bCs w:val="0"/>
          <w:color w:val="000000"/>
        </w:rPr>
        <w:t xml:space="preserve">год</w:t>
      </w:r>
      <w:r>
        <w:rPr>
          <w:rFonts w:ascii="Times New Roman" w:hAnsi="Times New Roman" w:cs="Times New Roman" w:eastAsiaTheme="minorHAnsi"/>
          <w:bCs w:val="0"/>
          <w:color w:val="000000"/>
        </w:rPr>
      </w:r>
      <w:r>
        <w:rPr>
          <w:rFonts w:ascii="Times New Roman" w:hAnsi="Times New Roman" w:cs="Times New Roman" w:eastAsiaTheme="minorHAnsi"/>
          <w:bCs w:val="0"/>
          <w:color w:val="000000"/>
        </w:rPr>
      </w:r>
    </w:p>
    <w:tbl>
      <w:tblPr>
        <w:tblW w:w="15593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3969"/>
        <w:gridCol w:w="2693"/>
        <w:gridCol w:w="1984"/>
        <w:gridCol w:w="2127"/>
        <w:gridCol w:w="141"/>
        <w:gridCol w:w="1843"/>
        <w:gridCol w:w="142"/>
        <w:gridCol w:w="1984"/>
      </w:tblGrid>
      <w:tr>
        <w:tblPrEx/>
        <w:trPr/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/п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Форма профилактических меропр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иятий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2"/>
            <w:shd w:val="clear" w:color="auto" w:fill="auto"/>
            <w:tcW w:w="4677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Ответственный исполнитель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2127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Периодичность проведения, сроки исполнения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gridSpan w:val="3"/>
            <w:tcW w:w="2126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Адресаты мероприятия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pStyle w:val="89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Ожидаемые результаты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>
          <w:trHeight w:val="770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shd w:val="clear" w:color="auto" w:fill="auto"/>
            <w:tcW w:w="14883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контролируемых лиц и иных заинтересованных лиц по вопросам соблюдения обязательных требований посредством размещения и поддержания в актуальном состоянии на официальном сайте инспекции в сети «Интернет»: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2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текстов нормативных правовых акт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ов, регулирующих осуществление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строительного надзора на территории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не позднее 30 декабря предшествующего года;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в течение 5 рабочи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дней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даты изменения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утраты юридической силы, принятия новых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Контролируемые лица, а также все иные заинтересованные лица, которым может быть полезна информация (далее – Пользователи)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сведений об изменениях, внесенных в нормативные правовые акты, регулирующие осуществление регионального государственного строительного надзора на территории Новосибирской области, о сроках и порядке их вступления в силу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соответствующих сведений на официальном сайте инспекции в сети «Интернет» – в течение 5 рабочих дней со дня принятия в установленном порядке соответствующих изменений или принятия новых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1.3.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перечня нормативных правовых актов с указ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анием структурных единиц этих актов, содержащих обязательные требования, оценка соблюдения которых является предметом контроля, а также информации о мерах ответственности, применяемых при нарушении обязательных требований, с текстами в действующей редакции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– в течение трех рабочих дней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даты утверждения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внесения изменений в Перечень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контролируемых лиц о действующих обязательных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r/>
            <w:r/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руководства по соблюдению обязательных требований, разработанного и утвержденного в соответствии с Федеральным </w:t>
            </w:r>
            <w:hyperlink r:id="rId28" w:tooltip="consultantplus://offline/ref=9ACAA89C6FF58C33776267CAD813686974829EFE2BEBB854C524F083A7349DB9E6BF8B5B80C72015E2BA0D6973903742AEDF24DC257EB02352s0I" w:history="1">
              <w:r>
                <w:rPr>
                  <w:rFonts w:ascii="Times New Roman" w:hAnsi="Times New Roman" w:cs="Times New Roman"/>
                  <w:sz w:val="24"/>
                  <w:szCs w:val="24"/>
                </w:rPr>
                <w:t xml:space="preserve">законом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«Об обязательных требованиях в Российской Федерации»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в течение 15 рабочих дней с даты: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вступления в силу нормативного правового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кта, которым вносятся изменения в состав и (или) содержание обязательного требования;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принятия новых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контролируемых лиц о 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764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перечня индикаторов риска нарушения обязательных требований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внесении изменений в перечень индикаторов риска нарушения обязательных требований – в течение 5 рабочих дней с момента официального опубликовани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постановления Правительства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контролируемых лиц об основаниях проведения внеплановой проверки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1.6.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реестра объектов капитального строительства (далее – реестр), указанных в части 1 статьи 54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РФ, в отношении которых инспекция осуществляет региональный государственный строительный надзор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 пяти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абочих дней вносит изменения в реестр со дня получения информации, документа, являющихся основанием для внесения изменений в реестр, размещение актуализированного реестра на сайте инспекции - еженедельно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ей об объектах капитального строительства, находящихся, в отношении которых осуществляется региональный государственный строительный надзор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089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1.7.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профилактики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Утверждение – не позднее 19 декабря предшествующего года;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размещение на официальном сайте инспекции в сети «Интернет»  – в течение пяти дней со дня утверждения программы профилактики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рисков причинения вреда охраняемым законом ценност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698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1.8.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исчерпывающего перечня сведений, которые могут запрашиваться инспекцией у контролируемого 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пяти рабочих дней с момента утверждения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перечне сведений, которые могут запрашиваться инспекцией у контролируемого 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1.9.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сведений о способах получения консультаций по вопросам соблюдения обязательных требований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– в течение 10 рабочих дней с момента внесения соответствующих изменений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способах получения консультаций по вопросам соблюдения обязательных требований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1.10.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сведений о порядке досудебного обжалования решений инспекции, действий (бездействия) ее должностных лиц (далее – порядок досудебного обжалования)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порядка в течение 15 рабочих дней с момента вне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сения соответствующих изменений</w:t>
            </w:r>
            <w:r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порядке досудебного обжалования решений инспекции, действий (бездействия) ее должностных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докладов об осуществлении инспекцией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государственного строительного надзора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 утверждение – не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зднее 15 марта года, следующего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отчетным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918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1.13.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 об исполнении </w:t>
            </w:r>
            <w:r>
              <w:rPr>
                <w:rFonts w:ascii="Times New Roman" w:hAnsi="Times New Roman" w:cs="Times New Roman" w:eastAsiaTheme="minorHAnsi"/>
                <w:bCs w:val="0"/>
                <w:color w:val="000000"/>
              </w:rPr>
              <w:t xml:space="preserve">Плана-графика мероприятий по профилактике рисков причинения вреда (ущерба) охраняемым законом ценностям при осуществлении регионального государственного строительного надзора на территории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– ежеквартально не позднее 20 числа, месяца, следующего за отчетным кварталом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Повышение прозрачности системы государственного надзора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и контрольной (надзорной) деятельности инспекции государственно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строительного надзора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тверждение и размещение результатов осуществляется ежегодно не позднее 15 марта года, следующего за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отчетн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Публичные обсуждения проекта доклада о правоприменительной практике инспекции государственного строительного надзора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Ежегодно не позднее 15 марта года, следующего за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отчетным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прозрачности системы государственного надзора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Объявление предостережения о недопустимости нарушения обязательных требований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случае наличия у инспекции сведений о готовящихся нарушениях обязательных требований или признаках нарушений обязательных требований и (или) в случае отсутствия п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одтвержденных данных о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/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Недопущение нарушений обязательных требований 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тролируемыми лицами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3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shd w:val="clear" w:color="auto" w:fill="auto"/>
            <w:tcW w:w="1488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профилактического визита: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5.1.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обязательного профилактического визита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строительного надзора по Новосибирской области № 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течение трех месяцев со дня поступления в инспекцию от контролируемого лица извещения о начале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работ по строительству, реконструкции объекта капитального строительства, направленного в соответствии с </w:t>
            </w:r>
            <w:hyperlink r:id="rId29" w:tooltip="consultantplus://offline/ref=EB006101695F2B23AD12D888E441C2D4BF6218307AC6885FC237AA3F354899776209D5D7620560938F1A7C982DCA024415EAB4A6E379oAQ6B" w:history="1">
              <w:r>
                <w:rPr>
                  <w:rFonts w:ascii="Times New Roman" w:hAnsi="Times New Roman" w:eastAsia="Calibri" w:cs="Times New Roman"/>
                  <w:sz w:val="24"/>
                  <w:szCs w:val="24"/>
                </w:rPr>
                <w:t xml:space="preserve">частью 5 статьи 52</w:t>
              </w:r>
            </w:hyperlink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ГрК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РФ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5.2.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профилактического визита по инициативе контролируемого 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 сроки, согласованные с контролируемым лицом (приложение  1)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должностными лицами инспекции консультирования (дача разъяснений по вопросам, связанным с организацией и осуществлением регионального государственного строит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ельного надзора, порядку обжалования действий (бездействия) должностных лиц):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по телефону;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посредством видео-конференц-связи;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 на личном приеме либо в ходе проведения профилактического мероприятия, контрольного (надзорного) мероприятия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296-58-68,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2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296-58-72,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государственного строительного надзора по Новосибирской области № 4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296-58-74,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судебно-правовой работы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296-58-80,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обращения за консультацией контролируе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мых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единого понимания обязательных требований; повышение информированности пользователей о действующих обязательных требованиях; вовлечение контролируемых лиц во взаимодействие с инспекцией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Разработка, утверждение и размещение на официальном сайте инспекции в сети «Интернет» программы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до 30 сентября предшествующего года;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не позднее 19 декабря предшествующего 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течение 5 дней со дня утверждения программы профилактики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431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размещение доклада об итогах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реализации программы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профилактики нарушений обязательных требований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области регионального государственного строительного надзора на территории Новосибирской области на 2024 год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официальном сайте инспекции в сети «Интернет»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дготовка доклада до 01.02.2025;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доклада на официальном сайте инспекции в сети «Интернет» до 15.02.2025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Повышение прозрачности системы государственного надзора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2520"/>
        </w:trPr>
        <w:tc>
          <w:tcPr>
            <w:shd w:val="clear" w:color="auto" w:fill="auto"/>
            <w:tcW w:w="710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auto"/>
            <w:tcW w:w="3969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Проведение публичного мероприятия в форме семинара (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вебинара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)</w:t>
            </w:r>
            <w:bookmarkStart w:id="0" w:name="_GoBack"/>
            <w:r/>
            <w:bookmarkEnd w:id="0"/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shd w:val="clear" w:color="auto" w:fill="auto"/>
            <w:tcW w:w="269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Нормативно-технический отдел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(383) 296-58-76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shd w:val="clear" w:color="auto" w:fill="auto"/>
            <w:tcW w:w="4252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не позднее 31.12.2025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Пользователи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2126" w:type="dxa"/>
            <w:textDirection w:val="lrTb"/>
            <w:noWrap w:val="false"/>
          </w:tcPr>
          <w:p>
            <w:pPr>
              <w:pStyle w:val="89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информированности пользователей о действующих обязательных требованиях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rPr>
          <w:rFonts w:ascii="Times New Roman" w:hAnsi="Times New Roman" w:cs="Times New Roman" w:eastAsiaTheme="majorEastAsia"/>
          <w:bCs/>
          <w:sz w:val="32"/>
          <w:szCs w:val="32"/>
        </w:rPr>
      </w:pPr>
      <w:r>
        <w:rPr>
          <w:rFonts w:ascii="Times New Roman" w:hAnsi="Times New Roman" w:cs="Times New Roman" w:eastAsiaTheme="majorEastAsia"/>
          <w:bCs/>
          <w:sz w:val="28"/>
          <w:szCs w:val="28"/>
        </w:rPr>
      </w:r>
      <w:r>
        <w:rPr>
          <w:rFonts w:ascii="Times New Roman" w:hAnsi="Times New Roman" w:cs="Times New Roman" w:eastAsiaTheme="majorEastAsia"/>
          <w:bCs/>
          <w:sz w:val="32"/>
          <w:szCs w:val="32"/>
        </w:rPr>
      </w:r>
      <w:r>
        <w:rPr>
          <w:rFonts w:ascii="Times New Roman" w:hAnsi="Times New Roman" w:cs="Times New Roman" w:eastAsiaTheme="majorEastAsia"/>
          <w:bCs/>
          <w:sz w:val="32"/>
          <w:szCs w:val="32"/>
        </w:rPr>
      </w:r>
    </w:p>
    <w:p>
      <w:pPr>
        <w:pStyle w:val="707"/>
        <w:ind w:left="11340"/>
        <w:jc w:val="center"/>
        <w:spacing w:before="0" w:line="240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 w:val="0"/>
          <w:color w:val="auto"/>
          <w:highlight w:val="none"/>
        </w:rPr>
      </w:r>
      <w:r>
        <w:rPr>
          <w:rFonts w:ascii="Times New Roman" w:hAnsi="Times New Roman" w:cs="Times New Roman"/>
          <w:b w:val="0"/>
          <w:color w:val="auto"/>
          <w:highlight w:val="none"/>
        </w:rPr>
      </w:r>
      <w:r>
        <w:rPr>
          <w:rFonts w:ascii="Times New Roman" w:hAnsi="Times New Roman" w:cs="Times New Roman"/>
          <w:color w:val="auto"/>
        </w:rPr>
      </w:r>
    </w:p>
    <w:p>
      <w:pPr>
        <w:shd w:val="nil" w:color="auto"/>
        <w:rPr>
          <w:rFonts w:ascii="Times New Roman" w:hAnsi="Times New Roman" w:cs="Times New Roman"/>
          <w:b w:val="0"/>
          <w:bCs w:val="0"/>
          <w:color w:val="auto"/>
          <w:highlight w:val="none"/>
        </w:rPr>
      </w:pPr>
      <w:r>
        <w:rPr>
          <w:rFonts w:ascii="Times New Roman" w:hAnsi="Times New Roman" w:cs="Times New Roman"/>
          <w:b w:val="0"/>
          <w:bCs w:val="0"/>
          <w:color w:val="auto"/>
          <w:highlight w:val="none"/>
        </w:rPr>
        <w:br w:type="page" w:clear="all"/>
      </w:r>
      <w:r>
        <w:rPr>
          <w:rFonts w:ascii="Times New Roman" w:hAnsi="Times New Roman" w:cs="Times New Roman"/>
          <w:b w:val="0"/>
          <w:bCs w:val="0"/>
          <w:color w:val="auto"/>
          <w:highlight w:val="none"/>
        </w:rPr>
      </w:r>
      <w:r>
        <w:rPr>
          <w:rFonts w:ascii="Times New Roman" w:hAnsi="Times New Roman" w:cs="Times New Roman"/>
          <w:b w:val="0"/>
          <w:bCs w:val="0"/>
          <w:color w:val="auto"/>
          <w:highlight w:val="none"/>
        </w:rPr>
      </w:r>
    </w:p>
    <w:p>
      <w:pPr>
        <w:pStyle w:val="707"/>
        <w:ind w:left="0"/>
        <w:jc w:val="right"/>
        <w:spacing w:before="0" w:line="240" w:lineRule="auto"/>
        <w:rPr>
          <w:rFonts w:ascii="Times New Roman" w:hAnsi="Times New Roman" w:cs="Times New Roman"/>
          <w:b w:val="0"/>
          <w:bCs w:val="0"/>
          <w:color w:val="auto"/>
          <w:highlight w:val="none"/>
        </w:rPr>
      </w:pPr>
      <w:r>
        <w:rPr>
          <w:rFonts w:ascii="Times New Roman" w:hAnsi="Times New Roman" w:cs="Times New Roman"/>
          <w:b w:val="0"/>
          <w:color w:val="auto"/>
        </w:rPr>
        <w:t xml:space="preserve">ПРИЛОЖЕНИЕ</w:t>
      </w:r>
      <w:r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b w:val="0"/>
          <w:color w:val="auto"/>
        </w:rPr>
        <w:t xml:space="preserve">№ 1</w:t>
      </w:r>
      <w:r>
        <w:rPr>
          <w:rFonts w:ascii="Times New Roman" w:hAnsi="Times New Roman" w:cs="Times New Roman"/>
          <w:b w:val="0"/>
          <w:bCs w:val="0"/>
          <w:color w:val="auto"/>
          <w:highlight w:val="none"/>
        </w:rPr>
      </w:r>
      <w:r>
        <w:rPr>
          <w:rFonts w:ascii="Times New Roman" w:hAnsi="Times New Roman" w:cs="Times New Roman"/>
          <w:b w:val="0"/>
          <w:bCs w:val="0"/>
          <w:color w:val="auto"/>
          <w:highlight w:val="none"/>
        </w:rPr>
      </w:r>
    </w:p>
    <w:p>
      <w:pPr>
        <w:ind w:left="8364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плану-графику мероприятий по профилактике рисков причинения вреда (ущерба) охраняемым законом ценностям при осуществлении регионального государственного строительного надзора на территории Новосибирской области на 2025 год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8364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Перечень профилактических визи</w:t>
      </w:r>
      <w:r>
        <w:rPr>
          <w:rFonts w:ascii="Times New Roman" w:hAnsi="Times New Roman" w:cs="Times New Roman"/>
          <w:i/>
          <w:sz w:val="28"/>
          <w:szCs w:val="28"/>
        </w:rPr>
        <w:t xml:space="preserve">тов, 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запланированных</w:t>
      </w:r>
      <w:r>
        <w:rPr>
          <w:rFonts w:ascii="Times New Roman" w:hAnsi="Times New Roman" w:cs="Times New Roman"/>
          <w:i/>
          <w:sz w:val="28"/>
          <w:szCs w:val="28"/>
        </w:rPr>
        <w:t xml:space="preserve"> к проведению, в соответствии с частью 13 статьи 52 Федерального закона от 31.07.2023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p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  <w:r>
        <w:rPr>
          <w:rFonts w:ascii="Times New Roman" w:hAnsi="Times New Roman" w:cs="Times New Roman"/>
          <w:i/>
          <w:sz w:val="28"/>
          <w:szCs w:val="28"/>
        </w:rPr>
      </w:r>
    </w:p>
    <w:tbl>
      <w:tblPr>
        <w:tblStyle w:val="885"/>
        <w:tblW w:w="15163" w:type="dxa"/>
        <w:tblLayout w:type="fixed"/>
        <w:tblLook w:val="04A0" w:firstRow="1" w:lastRow="0" w:firstColumn="1" w:lastColumn="0" w:noHBand="0" w:noVBand="1"/>
      </w:tblPr>
      <w:tblGrid>
        <w:gridCol w:w="419"/>
        <w:gridCol w:w="1419"/>
        <w:gridCol w:w="1559"/>
        <w:gridCol w:w="1276"/>
        <w:gridCol w:w="2977"/>
        <w:gridCol w:w="2835"/>
        <w:gridCol w:w="1559"/>
        <w:gridCol w:w="1418"/>
        <w:gridCol w:w="1701"/>
      </w:tblGrid>
      <w:tr>
        <w:tblPrEx/>
        <w:trPr/>
        <w:tc>
          <w:tcPr>
            <w:tcW w:w="4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425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Сведения о контролируемом лице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97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Реквизиты электронного  паспорта профилактического визита в ЕРКНМ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4"/>
            <w:tcW w:w="751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Сведения о согласованном с контролируемым лицом профилактическом визите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419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контролируемого лица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Основной государственный номер (ОГРН)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Идентификационный номер налогоплательщика (ИНН)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97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</w:r>
            <w:r>
              <w:rPr>
                <w:rFonts w:ascii="Times New Roman" w:hAnsi="Times New Roman" w:cs="Times New Roman"/>
                <w:i/>
              </w:rPr>
            </w:r>
            <w:r>
              <w:rPr>
                <w:rFonts w:ascii="Times New Roman" w:hAnsi="Times New Roman" w:cs="Times New Roman"/>
                <w:i/>
              </w:rPr>
            </w:r>
          </w:p>
        </w:tc>
        <w:tc>
          <w:tcPr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Форма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(на месте осуществления деятельности / видео-конференц-связи)</w:t>
            </w:r>
            <w:r>
              <w:rPr>
                <w:rFonts w:ascii="Times New Roman" w:hAnsi="Times New Roman" w:cs="Times New Roman"/>
                <w:i/>
              </w:rPr>
            </w:r>
            <w:r>
              <w:rPr>
                <w:rFonts w:ascii="Times New Roman" w:hAnsi="Times New Roman" w:cs="Times New Roman"/>
                <w:i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проведения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проведения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 проведения профилактического визита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4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4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97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5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83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6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7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8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9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</w:tr>
      <w:tr>
        <w:tblPrEx/>
        <w:trPr/>
        <w:tc>
          <w:tcPr>
            <w:tcW w:w="4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97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83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ind w:left="113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6838" w:h="11906" w:orient="landscape"/>
      <w:pgMar w:top="567" w:right="992" w:bottom="1418" w:left="992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 CYR">
    <w:panose1 w:val="02020603050405020304"/>
  </w:font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570883921"/>
      <w:docPartObj>
        <w:docPartGallery w:val="Page Numbers (Top of Page)"/>
        <w:docPartUnique w:val="true"/>
      </w:docPartObj>
      <w:rPr/>
    </w:sdtPr>
    <w:sdtContent>
      <w:p>
        <w:pPr>
          <w:pStyle w:val="898"/>
          <w:jc w:val="center"/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 xml:space="preserve"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 xml:space="preserve">25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  <w:r/>
      </w:p>
    </w:sdtContent>
  </w:sdt>
  <w:p>
    <w:pPr>
      <w:pStyle w:val="89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300" w:hanging="234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z w:val="28"/>
        <w:szCs w:val="28"/>
        <w:lang w:val="ru-RU" w:eastAsia="en-US" w:bidi="ar-SA"/>
      </w:rPr>
    </w:lvl>
    <w:lvl w:ilvl="1">
      <w:start w:val="1"/>
      <w:numFmt w:val="bullet"/>
      <w:isLgl w:val="false"/>
      <w:suff w:val="tab"/>
      <w:lvlText w:val="-"/>
      <w:lvlJc w:val="left"/>
      <w:pPr>
        <w:ind w:left="271" w:hanging="259"/>
      </w:pPr>
      <w:rPr>
        <w:rFonts w:hint="default" w:ascii="Times New Roman" w:hAnsi="Times New Roman" w:eastAsia="Times New Roman" w:cs="Times New Roman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1422" w:hanging="259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2544" w:hanging="259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3666" w:hanging="259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4788" w:hanging="259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5911" w:hanging="259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033" w:hanging="259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8155" w:hanging="259"/>
      </w:pPr>
      <w:rPr>
        <w:rFonts w:hint="default"/>
        <w:lang w:val="ru-RU" w:eastAsia="en-US" w:bidi="ar-SA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•"/>
      <w:lvlJc w:val="left"/>
      <w:pPr>
        <w:ind w:left="283" w:hanging="723"/>
      </w:pPr>
      <w:rPr>
        <w:rFonts w:hint="default" w:ascii="Times New Roman" w:hAnsi="Times New Roman" w:eastAsia="Times New Roman" w:cs="Times New Roman"/>
        <w:lang w:val="ru-RU" w:eastAsia="en-US" w:bidi="ar-SA"/>
      </w:rPr>
    </w:lvl>
    <w:lvl w:ilvl="1">
      <w:start w:val="1"/>
      <w:numFmt w:val="bullet"/>
      <w:isLgl w:val="false"/>
      <w:suff w:val="tab"/>
      <w:lvlText w:val="•"/>
      <w:lvlJc w:val="left"/>
      <w:pPr>
        <w:ind w:left="1292" w:hanging="723"/>
      </w:pPr>
      <w:rPr>
        <w:rFonts w:hint="default"/>
        <w:lang w:val="ru-RU" w:eastAsia="en-US" w:bidi="ar-SA"/>
      </w:rPr>
    </w:lvl>
    <w:lvl w:ilvl="2">
      <w:start w:val="1"/>
      <w:numFmt w:val="bullet"/>
      <w:isLgl w:val="false"/>
      <w:suff w:val="tab"/>
      <w:lvlText w:val="•"/>
      <w:lvlJc w:val="left"/>
      <w:pPr>
        <w:ind w:left="2304" w:hanging="723"/>
      </w:pPr>
      <w:rPr>
        <w:rFonts w:hint="default"/>
        <w:lang w:val="ru-RU" w:eastAsia="en-US" w:bidi="ar-SA"/>
      </w:rPr>
    </w:lvl>
    <w:lvl w:ilvl="3">
      <w:start w:val="1"/>
      <w:numFmt w:val="bullet"/>
      <w:isLgl w:val="false"/>
      <w:suff w:val="tab"/>
      <w:lvlText w:val="•"/>
      <w:lvlJc w:val="left"/>
      <w:pPr>
        <w:ind w:left="3316" w:hanging="723"/>
      </w:pPr>
      <w:rPr>
        <w:rFonts w:hint="default"/>
        <w:lang w:val="ru-RU" w:eastAsia="en-US" w:bidi="ar-SA"/>
      </w:rPr>
    </w:lvl>
    <w:lvl w:ilvl="4">
      <w:start w:val="1"/>
      <w:numFmt w:val="bullet"/>
      <w:isLgl w:val="false"/>
      <w:suff w:val="tab"/>
      <w:lvlText w:val="•"/>
      <w:lvlJc w:val="left"/>
      <w:pPr>
        <w:ind w:left="4328" w:hanging="723"/>
      </w:pPr>
      <w:rPr>
        <w:rFonts w:hint="default"/>
        <w:lang w:val="ru-RU" w:eastAsia="en-US" w:bidi="ar-SA"/>
      </w:rPr>
    </w:lvl>
    <w:lvl w:ilvl="5">
      <w:start w:val="1"/>
      <w:numFmt w:val="bullet"/>
      <w:isLgl w:val="false"/>
      <w:suff w:val="tab"/>
      <w:lvlText w:val="•"/>
      <w:lvlJc w:val="left"/>
      <w:pPr>
        <w:ind w:left="5340" w:hanging="723"/>
      </w:pPr>
      <w:rPr>
        <w:rFonts w:hint="default"/>
        <w:lang w:val="ru-RU" w:eastAsia="en-US" w:bidi="ar-SA"/>
      </w:rPr>
    </w:lvl>
    <w:lvl w:ilvl="6">
      <w:start w:val="1"/>
      <w:numFmt w:val="bullet"/>
      <w:isLgl w:val="false"/>
      <w:suff w:val="tab"/>
      <w:lvlText w:val="•"/>
      <w:lvlJc w:val="left"/>
      <w:pPr>
        <w:ind w:left="6352" w:hanging="723"/>
      </w:pPr>
      <w:rPr>
        <w:rFonts w:hint="default"/>
        <w:lang w:val="ru-RU" w:eastAsia="en-US" w:bidi="ar-SA"/>
      </w:rPr>
    </w:lvl>
    <w:lvl w:ilvl="7">
      <w:start w:val="1"/>
      <w:numFmt w:val="bullet"/>
      <w:isLgl w:val="false"/>
      <w:suff w:val="tab"/>
      <w:lvlText w:val="•"/>
      <w:lvlJc w:val="left"/>
      <w:pPr>
        <w:ind w:left="7364" w:hanging="723"/>
      </w:pPr>
      <w:rPr>
        <w:rFonts w:hint="default"/>
        <w:lang w:val="ru-RU" w:eastAsia="en-US" w:bidi="ar-SA"/>
      </w:rPr>
    </w:lvl>
    <w:lvl w:ilvl="8">
      <w:start w:val="1"/>
      <w:numFmt w:val="bullet"/>
      <w:isLgl w:val="false"/>
      <w:suff w:val="tab"/>
      <w:lvlText w:val="•"/>
      <w:lvlJc w:val="left"/>
      <w:pPr>
        <w:ind w:left="8376" w:hanging="723"/>
      </w:pPr>
      <w:rPr>
        <w:rFonts w:hint="default"/>
        <w:lang w:val="ru-RU" w:eastAsia="en-US" w:bidi="ar-SA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729" w:hanging="10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155" w:hanging="1020"/>
      </w:pPr>
      <w:rPr>
        <w:rFonts w:hint="default"/>
        <w:u w:val="none"/>
      </w:rPr>
    </w:lvl>
    <w:lvl w:ilvl="1">
      <w:start w:val="1"/>
      <w:numFmt w:val="lowerLetter"/>
      <w:isLgl w:val="false"/>
      <w:suff w:val="tab"/>
      <w:lvlText w:val="%2."/>
      <w:lvlJc w:val="left"/>
      <w:pPr>
        <w:ind w:left="221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3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5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7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9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1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3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55" w:hanging="180"/>
      </w:p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410" w:hanging="885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935" w:hanging="885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13"/>
  </w:num>
  <w:num w:numId="5">
    <w:abstractNumId w:val="7"/>
  </w:num>
  <w:num w:numId="6">
    <w:abstractNumId w:val="11"/>
  </w:num>
  <w:num w:numId="7">
    <w:abstractNumId w:val="4"/>
  </w:num>
  <w:num w:numId="8">
    <w:abstractNumId w:val="8"/>
  </w:num>
  <w:num w:numId="9">
    <w:abstractNumId w:val="5"/>
  </w:num>
  <w:num w:numId="10">
    <w:abstractNumId w:val="0"/>
  </w:num>
  <w:num w:numId="11">
    <w:abstractNumId w:val="6"/>
  </w:num>
  <w:num w:numId="12">
    <w:abstractNumId w:val="2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6" w:default="1">
    <w:name w:val="Normal"/>
    <w:qFormat/>
  </w:style>
  <w:style w:type="paragraph" w:styleId="707">
    <w:name w:val="Heading 1"/>
    <w:basedOn w:val="706"/>
    <w:next w:val="706"/>
    <w:link w:val="902"/>
    <w:uiPriority w:val="9"/>
    <w:qFormat/>
    <w:pPr>
      <w:keepLines/>
      <w:keepNext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708">
    <w:name w:val="Heading 2"/>
    <w:basedOn w:val="706"/>
    <w:next w:val="706"/>
    <w:link w:val="903"/>
    <w:uiPriority w:val="9"/>
    <w:unhideWhenUsed/>
    <w:qFormat/>
    <w:pPr>
      <w:keepLines/>
      <w:keepNext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709">
    <w:name w:val="Heading 3"/>
    <w:basedOn w:val="706"/>
    <w:next w:val="706"/>
    <w:link w:val="904"/>
    <w:uiPriority w:val="9"/>
    <w:unhideWhenUsed/>
    <w:qFormat/>
    <w:pPr>
      <w:keepLines/>
      <w:keepNext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710">
    <w:name w:val="Heading 4"/>
    <w:basedOn w:val="706"/>
    <w:link w:val="897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paragraph" w:styleId="711">
    <w:name w:val="Heading 5"/>
    <w:basedOn w:val="706"/>
    <w:next w:val="706"/>
    <w:link w:val="905"/>
    <w:uiPriority w:val="9"/>
    <w:unhideWhenUsed/>
    <w:qFormat/>
    <w:pPr>
      <w:keepLines/>
      <w:keepNext/>
      <w:spacing w:before="200" w:after="0"/>
      <w:outlineLvl w:val="4"/>
    </w:pPr>
    <w:rPr>
      <w:rFonts w:asciiTheme="majorHAnsi" w:hAnsiTheme="majorHAnsi" w:eastAsiaTheme="majorEastAsia" w:cstheme="majorBidi"/>
      <w:color w:val="243f60" w:themeColor="accent1" w:themeShade="7F"/>
    </w:rPr>
  </w:style>
  <w:style w:type="paragraph" w:styleId="712">
    <w:name w:val="Heading 6"/>
    <w:basedOn w:val="706"/>
    <w:next w:val="706"/>
    <w:link w:val="906"/>
    <w:uiPriority w:val="9"/>
    <w:unhideWhenUsed/>
    <w:qFormat/>
    <w:pPr>
      <w:keepLines/>
      <w:keepNext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paragraph" w:styleId="713">
    <w:name w:val="Heading 7"/>
    <w:basedOn w:val="706"/>
    <w:next w:val="706"/>
    <w:link w:val="907"/>
    <w:uiPriority w:val="9"/>
    <w:unhideWhenUsed/>
    <w:qFormat/>
    <w:pPr>
      <w:keepLines/>
      <w:keepNext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paragraph" w:styleId="714">
    <w:name w:val="Heading 8"/>
    <w:basedOn w:val="706"/>
    <w:next w:val="706"/>
    <w:link w:val="908"/>
    <w:uiPriority w:val="9"/>
    <w:unhideWhenUsed/>
    <w:qFormat/>
    <w:pPr>
      <w:keepLines/>
      <w:keepNext/>
      <w:spacing w:before="200" w:after="0"/>
      <w:outlineLvl w:val="7"/>
    </w:pPr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paragraph" w:styleId="715">
    <w:name w:val="Heading 9"/>
    <w:basedOn w:val="706"/>
    <w:next w:val="706"/>
    <w:link w:val="732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6" w:default="1">
    <w:name w:val="Default Paragraph Font"/>
    <w:uiPriority w:val="1"/>
    <w:semiHidden/>
    <w:unhideWhenUsed/>
  </w:style>
  <w:style w:type="table" w:styleId="71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18" w:default="1">
    <w:name w:val="No List"/>
    <w:uiPriority w:val="99"/>
    <w:semiHidden/>
    <w:unhideWhenUsed/>
  </w:style>
  <w:style w:type="character" w:styleId="719" w:customStyle="1">
    <w:name w:val="Heading 9 Char"/>
    <w:basedOn w:val="716"/>
    <w:uiPriority w:val="9"/>
    <w:rPr>
      <w:rFonts w:ascii="Arial" w:hAnsi="Arial" w:eastAsia="Arial" w:cs="Arial"/>
      <w:i/>
      <w:iCs/>
      <w:sz w:val="21"/>
      <w:szCs w:val="21"/>
    </w:rPr>
  </w:style>
  <w:style w:type="character" w:styleId="720" w:customStyle="1">
    <w:name w:val="Title Char"/>
    <w:basedOn w:val="716"/>
    <w:uiPriority w:val="10"/>
    <w:rPr>
      <w:sz w:val="48"/>
      <w:szCs w:val="48"/>
    </w:rPr>
  </w:style>
  <w:style w:type="character" w:styleId="721" w:customStyle="1">
    <w:name w:val="Subtitle Char"/>
    <w:basedOn w:val="716"/>
    <w:uiPriority w:val="11"/>
    <w:rPr>
      <w:sz w:val="24"/>
      <w:szCs w:val="24"/>
    </w:rPr>
  </w:style>
  <w:style w:type="character" w:styleId="722" w:customStyle="1">
    <w:name w:val="Quote Char"/>
    <w:uiPriority w:val="29"/>
    <w:rPr>
      <w:i/>
    </w:rPr>
  </w:style>
  <w:style w:type="character" w:styleId="723" w:customStyle="1">
    <w:name w:val="Intense Quote Char"/>
    <w:uiPriority w:val="30"/>
    <w:rPr>
      <w:i/>
    </w:rPr>
  </w:style>
  <w:style w:type="character" w:styleId="724" w:customStyle="1">
    <w:name w:val="Heading 1 Char"/>
    <w:basedOn w:val="716"/>
    <w:uiPriority w:val="9"/>
    <w:rPr>
      <w:rFonts w:ascii="Arial" w:hAnsi="Arial" w:eastAsia="Arial" w:cs="Arial"/>
      <w:sz w:val="40"/>
      <w:szCs w:val="40"/>
    </w:rPr>
  </w:style>
  <w:style w:type="character" w:styleId="725" w:customStyle="1">
    <w:name w:val="Heading 2 Char"/>
    <w:basedOn w:val="716"/>
    <w:uiPriority w:val="9"/>
    <w:rPr>
      <w:rFonts w:ascii="Arial" w:hAnsi="Arial" w:eastAsia="Arial" w:cs="Arial"/>
      <w:sz w:val="34"/>
    </w:rPr>
  </w:style>
  <w:style w:type="character" w:styleId="726" w:customStyle="1">
    <w:name w:val="Heading 3 Char"/>
    <w:basedOn w:val="716"/>
    <w:uiPriority w:val="9"/>
    <w:rPr>
      <w:rFonts w:ascii="Arial" w:hAnsi="Arial" w:eastAsia="Arial" w:cs="Arial"/>
      <w:sz w:val="30"/>
      <w:szCs w:val="30"/>
    </w:rPr>
  </w:style>
  <w:style w:type="character" w:styleId="727" w:customStyle="1">
    <w:name w:val="Heading 4 Char"/>
    <w:basedOn w:val="716"/>
    <w:uiPriority w:val="9"/>
    <w:rPr>
      <w:rFonts w:ascii="Arial" w:hAnsi="Arial" w:eastAsia="Arial" w:cs="Arial"/>
      <w:b/>
      <w:bCs/>
      <w:sz w:val="26"/>
      <w:szCs w:val="26"/>
    </w:rPr>
  </w:style>
  <w:style w:type="character" w:styleId="728" w:customStyle="1">
    <w:name w:val="Heading 5 Char"/>
    <w:basedOn w:val="716"/>
    <w:uiPriority w:val="9"/>
    <w:rPr>
      <w:rFonts w:ascii="Arial" w:hAnsi="Arial" w:eastAsia="Arial" w:cs="Arial"/>
      <w:b/>
      <w:bCs/>
      <w:sz w:val="24"/>
      <w:szCs w:val="24"/>
    </w:rPr>
  </w:style>
  <w:style w:type="character" w:styleId="729" w:customStyle="1">
    <w:name w:val="Heading 6 Char"/>
    <w:basedOn w:val="716"/>
    <w:uiPriority w:val="9"/>
    <w:rPr>
      <w:rFonts w:ascii="Arial" w:hAnsi="Arial" w:eastAsia="Arial" w:cs="Arial"/>
      <w:b/>
      <w:bCs/>
      <w:sz w:val="22"/>
      <w:szCs w:val="22"/>
    </w:rPr>
  </w:style>
  <w:style w:type="character" w:styleId="730" w:customStyle="1">
    <w:name w:val="Heading 7 Char"/>
    <w:basedOn w:val="71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1" w:customStyle="1">
    <w:name w:val="Heading 8 Char"/>
    <w:basedOn w:val="716"/>
    <w:uiPriority w:val="9"/>
    <w:rPr>
      <w:rFonts w:ascii="Arial" w:hAnsi="Arial" w:eastAsia="Arial" w:cs="Arial"/>
      <w:i/>
      <w:iCs/>
      <w:sz w:val="22"/>
      <w:szCs w:val="22"/>
    </w:rPr>
  </w:style>
  <w:style w:type="character" w:styleId="732" w:customStyle="1">
    <w:name w:val="Заголовок 9 Знак"/>
    <w:basedOn w:val="716"/>
    <w:link w:val="715"/>
    <w:uiPriority w:val="9"/>
    <w:rPr>
      <w:rFonts w:ascii="Arial" w:hAnsi="Arial" w:eastAsia="Arial" w:cs="Arial"/>
      <w:i/>
      <w:iCs/>
      <w:sz w:val="21"/>
      <w:szCs w:val="21"/>
    </w:rPr>
  </w:style>
  <w:style w:type="paragraph" w:styleId="733">
    <w:name w:val="Title"/>
    <w:basedOn w:val="706"/>
    <w:next w:val="706"/>
    <w:link w:val="734"/>
    <w:uiPriority w:val="10"/>
    <w:qFormat/>
    <w:pPr>
      <w:contextualSpacing/>
      <w:spacing w:before="300"/>
    </w:pPr>
    <w:rPr>
      <w:sz w:val="48"/>
      <w:szCs w:val="48"/>
    </w:rPr>
  </w:style>
  <w:style w:type="character" w:styleId="734" w:customStyle="1">
    <w:name w:val="Название Знак"/>
    <w:basedOn w:val="716"/>
    <w:link w:val="733"/>
    <w:uiPriority w:val="10"/>
    <w:rPr>
      <w:sz w:val="48"/>
      <w:szCs w:val="48"/>
    </w:rPr>
  </w:style>
  <w:style w:type="paragraph" w:styleId="735">
    <w:name w:val="Subtitle"/>
    <w:basedOn w:val="706"/>
    <w:next w:val="706"/>
    <w:link w:val="736"/>
    <w:uiPriority w:val="11"/>
    <w:qFormat/>
    <w:pPr>
      <w:spacing w:before="200"/>
    </w:pPr>
    <w:rPr>
      <w:sz w:val="24"/>
      <w:szCs w:val="24"/>
    </w:rPr>
  </w:style>
  <w:style w:type="character" w:styleId="736" w:customStyle="1">
    <w:name w:val="Подзаголовок Знак"/>
    <w:basedOn w:val="716"/>
    <w:link w:val="735"/>
    <w:uiPriority w:val="11"/>
    <w:rPr>
      <w:sz w:val="24"/>
      <w:szCs w:val="24"/>
    </w:rPr>
  </w:style>
  <w:style w:type="paragraph" w:styleId="737">
    <w:name w:val="Quote"/>
    <w:basedOn w:val="706"/>
    <w:next w:val="706"/>
    <w:link w:val="738"/>
    <w:uiPriority w:val="29"/>
    <w:qFormat/>
    <w:pPr>
      <w:ind w:left="720" w:right="720"/>
    </w:pPr>
    <w:rPr>
      <w:i/>
    </w:rPr>
  </w:style>
  <w:style w:type="character" w:styleId="738" w:customStyle="1">
    <w:name w:val="Цитата 2 Знак"/>
    <w:link w:val="737"/>
    <w:uiPriority w:val="29"/>
    <w:rPr>
      <w:i/>
    </w:rPr>
  </w:style>
  <w:style w:type="paragraph" w:styleId="739">
    <w:name w:val="Intense Quote"/>
    <w:basedOn w:val="706"/>
    <w:next w:val="706"/>
    <w:link w:val="74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0" w:customStyle="1">
    <w:name w:val="Выделенная цитата Знак"/>
    <w:link w:val="739"/>
    <w:uiPriority w:val="30"/>
    <w:rPr>
      <w:i/>
    </w:rPr>
  </w:style>
  <w:style w:type="character" w:styleId="741" w:customStyle="1">
    <w:name w:val="Header Char"/>
    <w:basedOn w:val="716"/>
    <w:uiPriority w:val="99"/>
  </w:style>
  <w:style w:type="character" w:styleId="742" w:customStyle="1">
    <w:name w:val="Footer Char"/>
    <w:basedOn w:val="716"/>
    <w:uiPriority w:val="99"/>
  </w:style>
  <w:style w:type="paragraph" w:styleId="743">
    <w:name w:val="Caption"/>
    <w:basedOn w:val="706"/>
    <w:next w:val="706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44" w:customStyle="1">
    <w:name w:val="Caption Char"/>
    <w:uiPriority w:val="99"/>
  </w:style>
  <w:style w:type="table" w:styleId="745" w:customStyle="1">
    <w:name w:val="Table Grid Light"/>
    <w:basedOn w:val="717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46" w:customStyle="1">
    <w:name w:val="Plain Table 1"/>
    <w:basedOn w:val="717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7" w:customStyle="1">
    <w:name w:val="Plain Table 2"/>
    <w:basedOn w:val="717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8" w:customStyle="1">
    <w:name w:val="Plain Table 3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9" w:customStyle="1">
    <w:name w:val="Plain Table 4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 w:customStyle="1">
    <w:name w:val="Plain Table 5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1" w:customStyle="1">
    <w:name w:val="Grid Table 1 Light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 w:customStyle="1">
    <w:name w:val="Grid Table 1 Light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 w:customStyle="1">
    <w:name w:val="Grid Table 1 Light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 w:customStyle="1">
    <w:name w:val="Grid Table 1 Light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 w:customStyle="1">
    <w:name w:val="Grid Table 1 Light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 w:customStyle="1">
    <w:name w:val="Grid Table 1 Light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 w:customStyle="1">
    <w:name w:val="Grid Table 1 Light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 w:customStyle="1">
    <w:name w:val="Grid Table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2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2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2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2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2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2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Grid Table 3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Grid Table 3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3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3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3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3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4"/>
    <w:basedOn w:val="717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3" w:customStyle="1">
    <w:name w:val="Grid Table 4 - Accent 1"/>
    <w:basedOn w:val="717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74" w:customStyle="1">
    <w:name w:val="Grid Table 4 - Accent 2"/>
    <w:basedOn w:val="717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75" w:customStyle="1">
    <w:name w:val="Grid Table 4 - Accent 3"/>
    <w:basedOn w:val="717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76" w:customStyle="1">
    <w:name w:val="Grid Table 4 - Accent 4"/>
    <w:basedOn w:val="717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77" w:customStyle="1">
    <w:name w:val="Grid Table 4 - Accent 5"/>
    <w:basedOn w:val="717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78" w:customStyle="1">
    <w:name w:val="Grid Table 4 - Accent 6"/>
    <w:basedOn w:val="717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79" w:customStyle="1">
    <w:name w:val="Grid Table 5 Dark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80" w:customStyle="1">
    <w:name w:val="Grid Table 5 Dark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81" w:customStyle="1">
    <w:name w:val="Grid Table 5 Dark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82" w:customStyle="1">
    <w:name w:val="Grid Table 5 Dark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83" w:customStyle="1">
    <w:name w:val="Grid Table 5 Dark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84" w:customStyle="1">
    <w:name w:val="Grid Table 5 Dark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85" w:customStyle="1">
    <w:name w:val="Grid Table 5 Dark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86" w:customStyle="1">
    <w:name w:val="Grid Table 6 Colorful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87" w:customStyle="1">
    <w:name w:val="Grid Table 6 Colorful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88" w:customStyle="1">
    <w:name w:val="Grid Table 6 Colorful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89" w:customStyle="1">
    <w:name w:val="Grid Table 6 Colorful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90" w:customStyle="1">
    <w:name w:val="Grid Table 6 Colorful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91" w:customStyle="1">
    <w:name w:val="Grid Table 6 Colorful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92" w:customStyle="1">
    <w:name w:val="Grid Table 6 Colorful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93" w:customStyle="1">
    <w:name w:val="Grid Table 7 Colorful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 w:customStyle="1">
    <w:name w:val="Grid Table 7 Colorful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 w:customStyle="1">
    <w:name w:val="Grid Table 7 Colorful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Grid Table 7 Colorful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Grid Table 7 Colorful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Grid Table 7 Colorful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Grid Table 7 Colorful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List Table 1 Light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List Table 1 Light - Accent 1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List Table 1 Light - Accent 2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 w:customStyle="1">
    <w:name w:val="List Table 1 Light - Accent 3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 w:customStyle="1">
    <w:name w:val="List Table 1 Light - Accent 4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 w:customStyle="1">
    <w:name w:val="List Table 1 Light - Accent 5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 w:customStyle="1">
    <w:name w:val="List Table 1 Light - Accent 6"/>
    <w:basedOn w:val="717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 w:customStyle="1">
    <w:name w:val="List Table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8" w:customStyle="1">
    <w:name w:val="List Table 2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09" w:customStyle="1">
    <w:name w:val="List Table 2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10" w:customStyle="1">
    <w:name w:val="List Table 2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11" w:customStyle="1">
    <w:name w:val="List Table 2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12" w:customStyle="1">
    <w:name w:val="List Table 2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13" w:customStyle="1">
    <w:name w:val="List Table 2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14" w:customStyle="1">
    <w:name w:val="List Table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 w:customStyle="1">
    <w:name w:val="List Table 3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 w:customStyle="1">
    <w:name w:val="List Table 3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 w:customStyle="1">
    <w:name w:val="List Table 3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 w:customStyle="1">
    <w:name w:val="List Table 3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List Table 3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List Table 3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List Table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 w:customStyle="1">
    <w:name w:val="List Table 4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 w:customStyle="1">
    <w:name w:val="List Table 4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List Table 4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List Table 4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 w:customStyle="1">
    <w:name w:val="List Table 4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4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5 Dark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9" w:customStyle="1">
    <w:name w:val="List Table 5 Dark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0" w:customStyle="1">
    <w:name w:val="List Table 5 Dark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1" w:customStyle="1">
    <w:name w:val="List Table 5 Dark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2" w:customStyle="1">
    <w:name w:val="List Table 5 Dark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3" w:customStyle="1">
    <w:name w:val="List Table 5 Dark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4" w:customStyle="1">
    <w:name w:val="List Table 5 Dark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5" w:customStyle="1">
    <w:name w:val="List Table 6 Colorful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36" w:customStyle="1">
    <w:name w:val="List Table 6 Colorful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37" w:customStyle="1">
    <w:name w:val="List Table 6 Colorful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38" w:customStyle="1">
    <w:name w:val="List Table 6 Colorful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39" w:customStyle="1">
    <w:name w:val="List Table 6 Colorful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40" w:customStyle="1">
    <w:name w:val="List Table 6 Colorful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41" w:customStyle="1">
    <w:name w:val="List Table 6 Colorful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42" w:customStyle="1">
    <w:name w:val="List Table 7 Colorful"/>
    <w:basedOn w:val="71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 w:customStyle="1">
    <w:name w:val="List Table 7 Colorful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 w:customStyle="1">
    <w:name w:val="List Table 7 Colorful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 w:customStyle="1">
    <w:name w:val="List Table 7 Colorful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 w:customStyle="1">
    <w:name w:val="List Table 7 Colorful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 w:customStyle="1">
    <w:name w:val="List Table 7 Colorful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 w:customStyle="1">
    <w:name w:val="List Table 7 Colorful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 w:customStyle="1">
    <w:name w:val="Lined - Accent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0" w:customStyle="1">
    <w:name w:val="Lined - Accent 1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51" w:customStyle="1">
    <w:name w:val="Lined - Accent 2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52" w:customStyle="1">
    <w:name w:val="Lined - Accent 3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53" w:customStyle="1">
    <w:name w:val="Lined - Accent 4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54" w:customStyle="1">
    <w:name w:val="Lined - Accent 5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55" w:customStyle="1">
    <w:name w:val="Lined - Accent 6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56" w:customStyle="1">
    <w:name w:val="Bordered &amp; Lined - Accent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7" w:customStyle="1">
    <w:name w:val="Bordered &amp; Lined - Accent 1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58" w:customStyle="1">
    <w:name w:val="Bordered &amp; Lined - Accent 2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59" w:customStyle="1">
    <w:name w:val="Bordered &amp; Lined - Accent 3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0" w:customStyle="1">
    <w:name w:val="Bordered &amp; Lined - Accent 4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1" w:customStyle="1">
    <w:name w:val="Bordered &amp; Lined - Accent 5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2" w:customStyle="1">
    <w:name w:val="Bordered &amp; Lined - Accent 6"/>
    <w:basedOn w:val="717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3" w:customStyle="1">
    <w:name w:val="Bordered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64" w:customStyle="1">
    <w:name w:val="Bordered - Accent 1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65" w:customStyle="1">
    <w:name w:val="Bordered - Accent 2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66" w:customStyle="1">
    <w:name w:val="Bordered - Accent 3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67" w:customStyle="1">
    <w:name w:val="Bordered - Accent 4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68" w:customStyle="1">
    <w:name w:val="Bordered - Accent 5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69" w:customStyle="1">
    <w:name w:val="Bordered - Accent 6"/>
    <w:basedOn w:val="717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70" w:customStyle="1">
    <w:name w:val="Footnote Text Char"/>
    <w:uiPriority w:val="99"/>
    <w:rPr>
      <w:sz w:val="18"/>
    </w:rPr>
  </w:style>
  <w:style w:type="character" w:styleId="871" w:customStyle="1">
    <w:name w:val="Endnote Text Char"/>
    <w:uiPriority w:val="99"/>
    <w:rPr>
      <w:sz w:val="20"/>
    </w:rPr>
  </w:style>
  <w:style w:type="paragraph" w:styleId="872">
    <w:name w:val="toc 1"/>
    <w:basedOn w:val="706"/>
    <w:next w:val="706"/>
    <w:uiPriority w:val="39"/>
    <w:unhideWhenUsed/>
    <w:pPr>
      <w:spacing w:after="57"/>
    </w:pPr>
  </w:style>
  <w:style w:type="paragraph" w:styleId="873">
    <w:name w:val="toc 2"/>
    <w:basedOn w:val="706"/>
    <w:next w:val="706"/>
    <w:uiPriority w:val="39"/>
    <w:unhideWhenUsed/>
    <w:pPr>
      <w:ind w:left="283"/>
      <w:spacing w:after="57"/>
    </w:pPr>
  </w:style>
  <w:style w:type="paragraph" w:styleId="874">
    <w:name w:val="toc 3"/>
    <w:basedOn w:val="706"/>
    <w:next w:val="706"/>
    <w:uiPriority w:val="39"/>
    <w:unhideWhenUsed/>
    <w:pPr>
      <w:ind w:left="567"/>
      <w:spacing w:after="57"/>
    </w:pPr>
  </w:style>
  <w:style w:type="paragraph" w:styleId="875">
    <w:name w:val="toc 4"/>
    <w:basedOn w:val="706"/>
    <w:next w:val="706"/>
    <w:uiPriority w:val="39"/>
    <w:unhideWhenUsed/>
    <w:pPr>
      <w:ind w:left="850"/>
      <w:spacing w:after="57"/>
    </w:pPr>
  </w:style>
  <w:style w:type="paragraph" w:styleId="876">
    <w:name w:val="toc 5"/>
    <w:basedOn w:val="706"/>
    <w:next w:val="706"/>
    <w:uiPriority w:val="39"/>
    <w:unhideWhenUsed/>
    <w:pPr>
      <w:ind w:left="1134"/>
      <w:spacing w:after="57"/>
    </w:pPr>
  </w:style>
  <w:style w:type="paragraph" w:styleId="877">
    <w:name w:val="toc 6"/>
    <w:basedOn w:val="706"/>
    <w:next w:val="706"/>
    <w:uiPriority w:val="39"/>
    <w:unhideWhenUsed/>
    <w:pPr>
      <w:ind w:left="1417"/>
      <w:spacing w:after="57"/>
    </w:pPr>
  </w:style>
  <w:style w:type="paragraph" w:styleId="878">
    <w:name w:val="toc 7"/>
    <w:basedOn w:val="706"/>
    <w:next w:val="706"/>
    <w:uiPriority w:val="39"/>
    <w:unhideWhenUsed/>
    <w:pPr>
      <w:ind w:left="1701"/>
      <w:spacing w:after="57"/>
    </w:pPr>
  </w:style>
  <w:style w:type="paragraph" w:styleId="879">
    <w:name w:val="toc 8"/>
    <w:basedOn w:val="706"/>
    <w:next w:val="706"/>
    <w:uiPriority w:val="39"/>
    <w:unhideWhenUsed/>
    <w:pPr>
      <w:ind w:left="1984"/>
      <w:spacing w:after="57"/>
    </w:pPr>
  </w:style>
  <w:style w:type="paragraph" w:styleId="880">
    <w:name w:val="toc 9"/>
    <w:basedOn w:val="706"/>
    <w:next w:val="706"/>
    <w:uiPriority w:val="39"/>
    <w:unhideWhenUsed/>
    <w:pPr>
      <w:ind w:left="2268"/>
      <w:spacing w:after="57"/>
    </w:pPr>
  </w:style>
  <w:style w:type="paragraph" w:styleId="881">
    <w:name w:val="TOC Heading"/>
    <w:uiPriority w:val="39"/>
    <w:unhideWhenUsed/>
  </w:style>
  <w:style w:type="paragraph" w:styleId="882">
    <w:name w:val="table of figures"/>
    <w:basedOn w:val="706"/>
    <w:next w:val="706"/>
    <w:uiPriority w:val="99"/>
    <w:unhideWhenUsed/>
    <w:pPr>
      <w:spacing w:after="0"/>
    </w:pPr>
  </w:style>
  <w:style w:type="paragraph" w:styleId="883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884">
    <w:name w:val="List Paragraph"/>
    <w:basedOn w:val="706"/>
    <w:uiPriority w:val="1"/>
    <w:qFormat/>
    <w:pPr>
      <w:contextualSpacing/>
      <w:ind w:left="720"/>
    </w:pPr>
  </w:style>
  <w:style w:type="table" w:styleId="885">
    <w:name w:val="Table Grid"/>
    <w:basedOn w:val="717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86">
    <w:name w:val="Hyperlink"/>
    <w:basedOn w:val="716"/>
    <w:uiPriority w:val="99"/>
    <w:unhideWhenUsed/>
    <w:rPr>
      <w:color w:val="0000ff" w:themeColor="hyperlink"/>
      <w:u w:val="single"/>
    </w:rPr>
  </w:style>
  <w:style w:type="character" w:styleId="887">
    <w:name w:val="annotation reference"/>
    <w:basedOn w:val="716"/>
    <w:uiPriority w:val="99"/>
    <w:semiHidden/>
    <w:unhideWhenUsed/>
    <w:rPr>
      <w:sz w:val="16"/>
      <w:szCs w:val="16"/>
    </w:rPr>
  </w:style>
  <w:style w:type="paragraph" w:styleId="888">
    <w:name w:val="annotation text"/>
    <w:basedOn w:val="706"/>
    <w:link w:val="889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89" w:customStyle="1">
    <w:name w:val="Текст примечания Знак"/>
    <w:basedOn w:val="716"/>
    <w:link w:val="888"/>
    <w:uiPriority w:val="99"/>
    <w:semiHidden/>
    <w:rPr>
      <w:sz w:val="20"/>
      <w:szCs w:val="20"/>
    </w:rPr>
  </w:style>
  <w:style w:type="paragraph" w:styleId="890">
    <w:name w:val="annotation subject"/>
    <w:basedOn w:val="888"/>
    <w:next w:val="888"/>
    <w:link w:val="891"/>
    <w:uiPriority w:val="99"/>
    <w:semiHidden/>
    <w:unhideWhenUsed/>
    <w:rPr>
      <w:b/>
      <w:bCs/>
    </w:rPr>
  </w:style>
  <w:style w:type="character" w:styleId="891" w:customStyle="1">
    <w:name w:val="Тема примечания Знак"/>
    <w:basedOn w:val="889"/>
    <w:link w:val="890"/>
    <w:uiPriority w:val="99"/>
    <w:semiHidden/>
    <w:rPr>
      <w:b/>
      <w:bCs/>
      <w:sz w:val="20"/>
      <w:szCs w:val="20"/>
    </w:rPr>
  </w:style>
  <w:style w:type="paragraph" w:styleId="892">
    <w:name w:val="Balloon Text"/>
    <w:basedOn w:val="706"/>
    <w:link w:val="89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93" w:customStyle="1">
    <w:name w:val="Текст выноски Знак"/>
    <w:basedOn w:val="716"/>
    <w:link w:val="892"/>
    <w:uiPriority w:val="99"/>
    <w:semiHidden/>
    <w:rPr>
      <w:rFonts w:ascii="Tahoma" w:hAnsi="Tahoma" w:cs="Tahoma"/>
      <w:sz w:val="16"/>
      <w:szCs w:val="16"/>
    </w:rPr>
  </w:style>
  <w:style w:type="paragraph" w:styleId="894" w:customStyle="1">
    <w:name w:val="ConsPlusNormal"/>
    <w:pPr>
      <w:spacing w:after="0" w:line="240" w:lineRule="auto"/>
    </w:pPr>
    <w:rPr>
      <w:rFonts w:ascii="Arial" w:hAnsi="Arial" w:eastAsia="Calibri" w:cs="Arial"/>
      <w:sz w:val="20"/>
      <w:szCs w:val="20"/>
    </w:rPr>
  </w:style>
  <w:style w:type="paragraph" w:styleId="895" w:customStyle="1">
    <w:name w:val="formattext"/>
    <w:basedOn w:val="70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96" w:customStyle="1">
    <w:name w:val="headertext"/>
    <w:basedOn w:val="70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97" w:customStyle="1">
    <w:name w:val="Заголовок 4 Знак"/>
    <w:basedOn w:val="716"/>
    <w:link w:val="710"/>
    <w:uiPriority w:val="9"/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paragraph" w:styleId="898">
    <w:name w:val="Header"/>
    <w:basedOn w:val="706"/>
    <w:link w:val="89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99" w:customStyle="1">
    <w:name w:val="Верхний колонтитул Знак"/>
    <w:basedOn w:val="716"/>
    <w:link w:val="898"/>
    <w:uiPriority w:val="99"/>
  </w:style>
  <w:style w:type="paragraph" w:styleId="900">
    <w:name w:val="Footer"/>
    <w:basedOn w:val="706"/>
    <w:link w:val="90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901" w:customStyle="1">
    <w:name w:val="Нижний колонтитул Знак"/>
    <w:basedOn w:val="716"/>
    <w:link w:val="900"/>
    <w:uiPriority w:val="99"/>
  </w:style>
  <w:style w:type="character" w:styleId="902" w:customStyle="1">
    <w:name w:val="Заголовок 1 Знак"/>
    <w:basedOn w:val="716"/>
    <w:link w:val="707"/>
    <w:uiPriority w:val="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903" w:customStyle="1">
    <w:name w:val="Заголовок 2 Знак"/>
    <w:basedOn w:val="716"/>
    <w:link w:val="708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904" w:customStyle="1">
    <w:name w:val="Заголовок 3 Знак"/>
    <w:basedOn w:val="716"/>
    <w:link w:val="709"/>
    <w:uiPriority w:val="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905" w:customStyle="1">
    <w:name w:val="Заголовок 5 Знак"/>
    <w:basedOn w:val="716"/>
    <w:link w:val="711"/>
    <w:uiPriority w:val="9"/>
    <w:rPr>
      <w:rFonts w:asciiTheme="majorHAnsi" w:hAnsiTheme="majorHAnsi" w:eastAsiaTheme="majorEastAsia" w:cstheme="majorBidi"/>
      <w:color w:val="243f60" w:themeColor="accent1" w:themeShade="7F"/>
    </w:rPr>
  </w:style>
  <w:style w:type="character" w:styleId="906" w:customStyle="1">
    <w:name w:val="Заголовок 6 Знак"/>
    <w:basedOn w:val="716"/>
    <w:link w:val="712"/>
    <w:uiPriority w:val="9"/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character" w:styleId="907" w:customStyle="1">
    <w:name w:val="Заголовок 7 Знак"/>
    <w:basedOn w:val="716"/>
    <w:link w:val="713"/>
    <w:uiPriority w:val="9"/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character" w:styleId="908" w:customStyle="1">
    <w:name w:val="Заголовок 8 Знак"/>
    <w:basedOn w:val="716"/>
    <w:link w:val="714"/>
    <w:uiPriority w:val="9"/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paragraph" w:styleId="909">
    <w:name w:val="No Spacing"/>
    <w:uiPriority w:val="1"/>
    <w:qFormat/>
    <w:pPr>
      <w:spacing w:after="0" w:line="240" w:lineRule="auto"/>
    </w:pPr>
  </w:style>
  <w:style w:type="paragraph" w:styleId="910" w:customStyle="1">
    <w:name w:val="Стиль"/>
    <w:pPr>
      <w:spacing w:after="0" w:line="240" w:lineRule="auto"/>
      <w:widowControl w:val="off"/>
    </w:pPr>
    <w:rPr>
      <w:rFonts w:ascii="Arial" w:hAnsi="Arial" w:cs="Arial" w:eastAsiaTheme="minorEastAsia"/>
      <w:sz w:val="24"/>
      <w:szCs w:val="24"/>
      <w:lang w:eastAsia="ru-RU"/>
    </w:rPr>
  </w:style>
  <w:style w:type="paragraph" w:styleId="911">
    <w:name w:val="footnote text"/>
    <w:basedOn w:val="706"/>
    <w:link w:val="912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912" w:customStyle="1">
    <w:name w:val="Текст сноски Знак"/>
    <w:basedOn w:val="716"/>
    <w:link w:val="911"/>
    <w:uiPriority w:val="99"/>
    <w:semiHidden/>
    <w:rPr>
      <w:sz w:val="20"/>
      <w:szCs w:val="20"/>
    </w:rPr>
  </w:style>
  <w:style w:type="character" w:styleId="913">
    <w:name w:val="footnote reference"/>
    <w:basedOn w:val="716"/>
    <w:uiPriority w:val="99"/>
    <w:semiHidden/>
    <w:unhideWhenUsed/>
    <w:rPr>
      <w:vertAlign w:val="superscript"/>
    </w:rPr>
  </w:style>
  <w:style w:type="character" w:styleId="914">
    <w:name w:val="Strong"/>
    <w:basedOn w:val="716"/>
    <w:uiPriority w:val="22"/>
    <w:qFormat/>
    <w:rPr>
      <w:b/>
      <w:bCs/>
    </w:rPr>
  </w:style>
  <w:style w:type="character" w:styleId="915">
    <w:name w:val="FollowedHyperlink"/>
    <w:basedOn w:val="716"/>
    <w:uiPriority w:val="99"/>
    <w:semiHidden/>
    <w:unhideWhenUsed/>
    <w:rPr>
      <w:color w:val="800080" w:themeColor="followedHyperlink"/>
      <w:u w:val="single"/>
    </w:rPr>
  </w:style>
  <w:style w:type="paragraph" w:styleId="916">
    <w:name w:val="Normal (Web)"/>
    <w:basedOn w:val="706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17">
    <w:name w:val="Body Text"/>
    <w:basedOn w:val="706"/>
    <w:link w:val="918"/>
    <w:uiPriority w:val="1"/>
    <w:qFormat/>
    <w:pPr>
      <w:jc w:val="both"/>
      <w:spacing w:after="0" w:line="240" w:lineRule="auto"/>
      <w:widowControl w:val="off"/>
    </w:pPr>
    <w:rPr>
      <w:rFonts w:ascii="Times New Roman" w:hAnsi="Times New Roman" w:eastAsia="Times New Roman" w:cs="Times New Roman"/>
      <w:sz w:val="28"/>
      <w:szCs w:val="28"/>
    </w:rPr>
  </w:style>
  <w:style w:type="character" w:styleId="918" w:customStyle="1">
    <w:name w:val="Основной текст Знак"/>
    <w:basedOn w:val="716"/>
    <w:link w:val="917"/>
    <w:uiPriority w:val="1"/>
    <w:rPr>
      <w:rFonts w:ascii="Times New Roman" w:hAnsi="Times New Roman" w:eastAsia="Times New Roman" w:cs="Times New Roman"/>
      <w:sz w:val="28"/>
      <w:szCs w:val="28"/>
    </w:rPr>
  </w:style>
  <w:style w:type="table" w:styleId="919" w:customStyle="1">
    <w:name w:val="Table Normal"/>
    <w:uiPriority w:val="2"/>
    <w:semiHidden/>
    <w:unhideWhenUsed/>
    <w:qFormat/>
    <w:pPr>
      <w:spacing w:after="0" w:line="240" w:lineRule="auto"/>
      <w:widowControl w:val="off"/>
    </w:pPr>
    <w:rPr>
      <w:lang w:val="en-US"/>
    </w:rPr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920" w:customStyle="1">
    <w:name w:val="Table Paragraph"/>
    <w:basedOn w:val="706"/>
    <w:uiPriority w:val="1"/>
    <w:qFormat/>
    <w:pPr>
      <w:spacing w:after="0" w:line="240" w:lineRule="auto"/>
      <w:widowControl w:val="off"/>
    </w:pPr>
    <w:rPr>
      <w:rFonts w:ascii="Times New Roman" w:hAnsi="Times New Roman" w:eastAsia="Times New Roman" w:cs="Times New Roman"/>
    </w:rPr>
  </w:style>
  <w:style w:type="paragraph" w:styleId="921">
    <w:name w:val="endnote text"/>
    <w:basedOn w:val="706"/>
    <w:link w:val="922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922" w:customStyle="1">
    <w:name w:val="Текст концевой сноски Знак"/>
    <w:basedOn w:val="716"/>
    <w:link w:val="921"/>
    <w:uiPriority w:val="99"/>
    <w:semiHidden/>
    <w:rPr>
      <w:sz w:val="20"/>
      <w:szCs w:val="20"/>
    </w:rPr>
  </w:style>
  <w:style w:type="character" w:styleId="923">
    <w:name w:val="endnote reference"/>
    <w:basedOn w:val="716"/>
    <w:uiPriority w:val="99"/>
    <w:semiHidden/>
    <w:unhideWhenUsed/>
    <w:rPr>
      <w:vertAlign w:val="superscript"/>
    </w:rPr>
  </w:style>
  <w:style w:type="table" w:styleId="924" w:customStyle="1">
    <w:name w:val="Сетка таблицы1"/>
    <w:basedOn w:val="717"/>
    <w:next w:val="88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Relationship Id="rId11" Type="http://schemas.openxmlformats.org/officeDocument/2006/relationships/chart" Target="charts/chart1.xml" /><Relationship Id="rId12" Type="http://schemas.openxmlformats.org/officeDocument/2006/relationships/hyperlink" Target="consultantplus://offline/ref=131CC43B81ECCCB612C55E389A691AD51CDB41F24D35CC9149329389DC7A974CAC93EE67B18C87AB3E5715D3D9EC5A816634EE8ACA4BvDxEI" TargetMode="External"/><Relationship Id="rId13" Type="http://schemas.openxmlformats.org/officeDocument/2006/relationships/hyperlink" Target="consultantplus://offline/ref=131CC43B81ECCCB612C55E389A691AD51CDB41F24D35CC9149329389DC7A974CAC93EE67B18382AB3E5715D3D9EC5A816634EE8ACA4BvDxEI" TargetMode="External"/><Relationship Id="rId14" Type="http://schemas.openxmlformats.org/officeDocument/2006/relationships/hyperlink" Target="consultantplus://offline/ref=131CC43B81ECCCB612C55E389A691AD51CDB41F24D35CC9149329389DC7A974CAC93EE67B18287AB3E5715D3D9EC5A816634EE8ACA4BvDxEI" TargetMode="External"/><Relationship Id="rId15" Type="http://schemas.openxmlformats.org/officeDocument/2006/relationships/hyperlink" Target="consultantplus://offline/ref=131CC43B81ECCCB612C55E389A691AD51CDB41F24D35CC9149329389DC7A974CAC93EE67B18286AB3E5715D3D9EC5A816634EE8ACA4BvDxEI" TargetMode="External"/><Relationship Id="rId16" Type="http://schemas.openxmlformats.org/officeDocument/2006/relationships/hyperlink" Target="consultantplus://offline/ref=131CC43B81ECCCB612C55E389A691AD51CDB41F24D35CC9149329389DC7A974CAC93EE64B08E86AB3E5715D3D9EC5A816634EE8ACA4BvDxEI" TargetMode="External"/><Relationship Id="rId17" Type="http://schemas.openxmlformats.org/officeDocument/2006/relationships/hyperlink" Target="consultantplus://offline/ref=131CC43B81ECCCB612C55E389A691AD51CDB41F24D35CC9149329389DC7A974CAC93EE64B08E89AB3E5715D3D9EC5A816634EE8ACA4BvDxEI" TargetMode="External"/><Relationship Id="rId18" Type="http://schemas.openxmlformats.org/officeDocument/2006/relationships/chart" Target="charts/chart2.xml" /><Relationship Id="rId19" Type="http://schemas.openxmlformats.org/officeDocument/2006/relationships/hyperlink" Target="http://gsn.nso.ru/page/328" TargetMode="External"/><Relationship Id="rId20" Type="http://schemas.openxmlformats.org/officeDocument/2006/relationships/hyperlink" Target="https://gsn.nso.ru/page/550" TargetMode="External"/><Relationship Id="rId21" Type="http://schemas.openxmlformats.org/officeDocument/2006/relationships/hyperlink" Target="https://gsn.nso.ru/page/550" TargetMode="External"/><Relationship Id="rId22" Type="http://schemas.openxmlformats.org/officeDocument/2006/relationships/hyperlink" Target="https://gsn.nso.ru/page/549" TargetMode="External"/><Relationship Id="rId23" Type="http://schemas.openxmlformats.org/officeDocument/2006/relationships/hyperlink" Target="https://gsn.nso.ru/news" TargetMode="External"/><Relationship Id="rId24" Type="http://schemas.openxmlformats.org/officeDocument/2006/relationships/hyperlink" Target="https://gsn.nso.ru/page/338" TargetMode="External"/><Relationship Id="rId25" Type="http://schemas.openxmlformats.org/officeDocument/2006/relationships/hyperlink" Target="http://gsn.nso.ru/page/329" TargetMode="External"/><Relationship Id="rId26" Type="http://schemas.openxmlformats.org/officeDocument/2006/relationships/hyperlink" Target="https://gsn.nso.ru/page/994" TargetMode="External"/><Relationship Id="rId27" Type="http://schemas.openxmlformats.org/officeDocument/2006/relationships/hyperlink" Target="http://gsn.nso.ru/page/550" TargetMode="External"/><Relationship Id="rId28" Type="http://schemas.openxmlformats.org/officeDocument/2006/relationships/hyperlink" Target="consultantplus://offline/ref=9ACAA89C6FF58C33776267CAD813686974829EFE2BEBB854C524F083A7349DB9E6BF8B5B80C72015E2BA0D6973903742AEDF24DC257EB02352s0I" TargetMode="External"/><Relationship Id="rId29" Type="http://schemas.openxmlformats.org/officeDocument/2006/relationships/hyperlink" Target="consultantplus://offline/ref=EB006101695F2B23AD12D888E441C2D4BF6218307AC6885FC237AA3F354899776209D5D7620560938F1A7C982DCA024415EAB4A6E379oAQ6B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themeOverride" Target="../theme/themeOverride1.xml" /><Relationship Id="rId2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themeOverride" Target="../theme/themeOverride1.xml" /><Relationship Id="rId2" Type="http://schemas.openxmlformats.org/officeDocument/2006/relationships/package" Target="../embeddings/Microsoft_Excel_Worksheet2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100">
                <a:latin typeface="Times New Roman"/>
                <a:cs typeface="Times New Roman"/>
              </a:defRPr>
            </a:pPr>
            <a:r>
              <a:rPr lang="ru-RU" sz="1100" b="1" i="0">
                <a:latin typeface="Times New Roman"/>
                <a:cs typeface="Times New Roman"/>
              </a:rPr>
              <a:t>Рисунок 1. Распределение  объектов государственного надзора по категориям риска по состоянию </a:t>
            </a:r>
            <a:r>
              <a:rPr lang="ru-RU" sz="1100" b="1" i="0">
                <a:solidFill>
                  <a:sysClr val="windowText" lastClr="000000"/>
                </a:solidFill>
                <a:latin typeface="Times New Roman"/>
                <a:cs typeface="Times New Roman"/>
              </a:rPr>
              <a:t>на 01.07.2024</a:t>
            </a:r>
            <a:endParaRPr lang="ru-RU" sz="1100">
              <a:solidFill>
                <a:sysClr val="windowText" lastClr="000000"/>
              </a:solidFill>
              <a:highlight>
                <a:srgbClr val="FFFF00"/>
              </a:highlight>
              <a:latin typeface="Times New Roman"/>
              <a:cs typeface="Times New Roman"/>
            </a:endParaRPr>
          </a:p>
        </c:rich>
      </c:tx>
      <c:layout>
        <c:manualLayout>
          <c:xMode val="edge"/>
          <c:yMode val="edge"/>
          <c:x val="0.092520"/>
          <c:y val="0.041130"/>
        </c:manualLayout>
      </c:layout>
      <c:overlay val="0"/>
      <c:spPr bwMode="auto">
        <a:prstGeom prst="rect">
          <a:avLst/>
        </a:prstGeom>
        <a:ln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096180"/>
          <c:y val="0.311220"/>
          <c:w val="0.632910"/>
          <c:h val="0.640070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 xml:space="preserve">Высокий риск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 xml:space="preserve">Категория 1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764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 xml:space="preserve">Значительный риск</c:v>
                </c:pt>
              </c:strCache>
            </c:strRef>
          </c:tx>
          <c:invertIfNegative val="0"/>
          <c:dLbls>
            <c:dLbl>
              <c:idx val="0"/>
              <c:dLblPos val="outEnd"/>
              <c:layout>
                <c:manualLayout>
                  <c:x val="0.001310"/>
                  <c:y val="0.053140"/>
                </c:manualLayout>
              </c:layout>
              <c:showBubbleSize val="0"/>
              <c:showCatName val="0"/>
              <c:showLegendKey val="0"/>
              <c:showPercent val="0"/>
              <c:showSerName val="0"/>
              <c:showVal val="1"/>
            </c:dLbl>
            <c:dLblPos val="ctr"/>
            <c:showBubbleSize val="0"/>
            <c:showCatName val="0"/>
            <c:showLeaderLines val="0"/>
            <c:showLegendKey val="0"/>
            <c:showPercent val="0"/>
            <c:showSerName val="0"/>
            <c:showVal val="1"/>
          </c:dLbls>
          <c:cat>
            <c:strRef>
              <c:f>Лист1!$A$2</c:f>
              <c:strCache>
                <c:ptCount val="1"/>
                <c:pt idx="0">
                  <c:v xml:space="preserve">Категория 1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61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Низкий риск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 xml:space="preserve">Категория 1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196</c:v>
                </c:pt>
              </c:numCache>
            </c:numRef>
          </c:val>
        </c:ser>
        <c:dLbls>
          <c:dLblPos val="ctr"/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150"/>
        <c:axId val="60218752"/>
        <c:axId val="80295808"/>
      </c:barChart>
      <c:catAx>
        <c:axId val="60218752"/>
        <c:scaling>
          <c:orientation val="minMax"/>
        </c:scaling>
        <c:delete val="1"/>
        <c:axPos val="b"/>
        <c:majorTickMark val="out"/>
        <c:minorTickMark val="none"/>
        <c:tickLblPos val="nextTo"/>
        <c:crossAx val="80295808"/>
        <c:crosses val="autoZero"/>
        <c:auto val="1"/>
        <c:lblAlgn val="ctr"/>
        <c:lblOffset val="100"/>
        <c:noMultiLvlLbl val="0"/>
      </c:catAx>
      <c:valAx>
        <c:axId val="80295808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60218752"/>
        <c:crosses val="autoZero"/>
        <c:crossBetween val="between"/>
      </c:valAx>
      <c:spPr bwMode="auto">
        <a:prstGeom prst="rect">
          <a:avLst/>
        </a:prstGeom>
        <a:noFill/>
        <a:ln w="25400">
          <a:noFill/>
        </a:ln>
      </c:spPr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0"/>
  <c:lang val="ru-RU"/>
  <c:roundedCorners val="0"/>
  <mc:AlternateContent>
    <mc:Choice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lang="ru-RU" sz="1200" b="1" i="0" u="none" strike="noStrike">
                <a:solidFill>
                  <a:sysClr val="windowText" lastClr="000000"/>
                </a:solidFill>
                <a:latin typeface="Times New Roman"/>
                <a:ea typeface="+mn-ea"/>
                <a:cs typeface="Times New Roman"/>
              </a:defRPr>
            </a:pPr>
            <a:r>
              <a:rPr lang="ru-RU" sz="1200" b="1" i="0" u="none" strike="noStrike">
                <a:solidFill>
                  <a:sysClr val="windowText" lastClr="000000"/>
                </a:solidFill>
                <a:latin typeface="Times New Roman"/>
                <a:ea typeface="Arial"/>
                <a:cs typeface="Times New Roman"/>
              </a:rPr>
              <a:t>Рисунок  2. </a:t>
            </a:r>
            <a:r>
              <a:rPr lang="ru-RU" sz="1200" b="1" i="0" u="none" strike="noStrike"/>
              <a:t>Динамика применения административного наказания в виде предупреждения за 6 месяцев в 2024, 2023, 2022 г.г</a:t>
            </a:r>
            <a:endParaRPr lang="ru-RU" sz="1200" b="1" i="0" u="none" strike="noStrike">
              <a:solidFill>
                <a:sysClr val="windowText" lastClr="000000"/>
              </a:solidFill>
              <a:latin typeface="Times New Roman"/>
              <a:ea typeface="Arial"/>
              <a:cs typeface="Times New Roman"/>
            </a:endParaRPr>
          </a:p>
        </c:rich>
      </c:tx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Лист1!$C$73</c:f>
              <c:strCache>
                <c:ptCount val="1"/>
                <c:pt idx="0">
                  <c:v>Инспекция</c:v>
                </c:pt>
              </c:strCache>
            </c:strRef>
          </c:tx>
          <c:invertIfNegative val="0"/>
          <c:cat>
            <c:numRef>
              <c:f>Лист1!$D$72:$F$72</c:f>
              <c:numCache>
                <c:formatCode>General</c:formatCode>
                <c:ptCount val="3"/>
                <c:pt idx="0">
                  <c:v>2024</c:v>
                </c:pt>
                <c:pt idx="1">
                  <c:v>2023</c:v>
                </c:pt>
                <c:pt idx="2">
                  <c:v>2022</c:v>
                </c:pt>
              </c:numCache>
            </c:numRef>
          </c:cat>
          <c:val>
            <c:numRef>
              <c:f>Лист1!$D$73:$F$73</c:f>
              <c:numCache>
                <c:formatCode>General</c:formatCode>
                <c:ptCount val="3"/>
                <c:pt idx="0">
                  <c:v>143</c:v>
                </c:pt>
                <c:pt idx="1">
                  <c:v>136</c:v>
                </c:pt>
                <c:pt idx="2">
                  <c:v>158</c:v>
                </c:pt>
              </c:numCache>
            </c:numRef>
          </c:val>
        </c:ser>
        <c:ser>
          <c:idx val="1"/>
          <c:order val="1"/>
          <c:tx>
            <c:strRef>
              <c:f>Лист1!$C$74</c:f>
              <c:strCache>
                <c:ptCount val="1"/>
                <c:pt idx="0">
                  <c:v xml:space="preserve">Суды Новосибирской области</c:v>
                </c:pt>
              </c:strCache>
            </c:strRef>
          </c:tx>
          <c:invertIfNegative val="0"/>
          <c:cat>
            <c:numRef>
              <c:f>Лист1!$D$72:$F$72</c:f>
              <c:numCache>
                <c:formatCode>General</c:formatCode>
                <c:ptCount val="3"/>
                <c:pt idx="0">
                  <c:v>2024</c:v>
                </c:pt>
                <c:pt idx="1">
                  <c:v>2023</c:v>
                </c:pt>
                <c:pt idx="2">
                  <c:v>2022</c:v>
                </c:pt>
              </c:numCache>
            </c:numRef>
          </c:cat>
          <c:val>
            <c:numRef>
              <c:f>Лист1!$D$74:$F$74</c:f>
              <c:numCache>
                <c:formatCode>General</c:formatCode>
                <c:ptCount val="3"/>
                <c:pt idx="0">
                  <c:v>2</c:v>
                </c:pt>
                <c:pt idx="1">
                  <c:v>0</c:v>
                </c:pt>
                <c:pt idx="2">
                  <c:v>2</c:v>
                </c:pt>
              </c:numCache>
            </c:numRef>
          </c:val>
        </c:ser>
        <c:dLbls>
          <c:dLblPos val="ctr"/>
          <c:showBubbleSize val="0"/>
          <c:showCatName val="0"/>
          <c:showLeaderLines val="0"/>
          <c:showLegendKey val="0"/>
          <c:showPercent val="0"/>
          <c:showSerName val="0"/>
          <c:showVal val="1"/>
        </c:dLbls>
        <c:gapWidth val="150"/>
        <c:axId val="60144256"/>
        <c:axId val="60154240"/>
      </c:barChart>
      <c:catAx>
        <c:axId val="601442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60154240"/>
        <c:crosses val="autoZero"/>
        <c:auto val="1"/>
        <c:lblAlgn val="ctr"/>
        <c:lblOffset val="100"/>
        <c:noMultiLvlLbl val="0"/>
      </c:catAx>
      <c:valAx>
        <c:axId val="60154240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6014425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 xmlns:r="http://schemas.openxmlformats.org/officeDocument/2006/relationships" xmlns:p="http://schemas.openxmlformats.org/presentation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Arial"/>
      <a:cs typeface="Arial"/>
    </a:majorFont>
    <a:minorFont>
      <a:latin typeface="Calibri"/>
      <a:ea typeface="Arial"/>
      <a:cs typeface="Arial"/>
    </a:minorFont>
  </a:fontScheme>
  <a:fmtScheme name="Стандартная">
    <a:fillStyleLst>
      <a:solidFill>
        <a:schemeClr val="phClr"/>
      </a:solidFill>
      <a:gradFill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</a:effectStyleLst>
    <a:bgFillStyleLst>
      <a:solidFill>
        <a:schemeClr val="phClr"/>
      </a:solidFill>
      <a:gradFill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/>
      </a:gradFill>
      <a:gradFill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/>
      </a:gradFill>
    </a:bgFillStyleLst>
  </a:fmtScheme>
</a:themeOverrid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B3B23A-115C-455B-8535-AC75F1D11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Белокопытова Наталья Михайловна</dc:creator>
  <cp:revision>11</cp:revision>
  <dcterms:created xsi:type="dcterms:W3CDTF">2024-09-18T05:26:00Z</dcterms:created>
  <dcterms:modified xsi:type="dcterms:W3CDTF">2024-12-17T08:52:08Z</dcterms:modified>
</cp:coreProperties>
</file>