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word/charts/chart2.xml" ContentType="application/vnd.openxmlformats-officedocument.drawingml.chart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885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219"/>
        <w:gridCol w:w="5812"/>
      </w:tblGrid>
      <w:tr>
        <w:tblPrEx/>
        <w:trPr/>
        <w:tc>
          <w:tcPr>
            <w:tcW w:w="42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ПРОЕКТ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УТВЕРЖДЕНА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приказом инспекции государственного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строительного надзора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 w:themeFill="background1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  <w:shd w:val="clear" w:color="auto" w:fill="ffffff" w:themeFill="background1"/>
              </w:rPr>
              <w:t xml:space="preserve">___________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 w:themeFill="background1"/>
              </w:rPr>
              <w:t xml:space="preserve"> № </w:t>
            </w:r>
            <w:r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  <w:shd w:val="clear" w:color="auto" w:fill="ffffff" w:themeFill="background1"/>
              </w:rPr>
              <w:t xml:space="preserve">_____</w:t>
            </w:r>
            <w:r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</w:tc>
      </w:tr>
    </w:tbl>
    <w:p>
      <w:pPr>
        <w:jc w:val="center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712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Программа про</w:t>
      </w:r>
      <w:r>
        <w:rPr>
          <w:rFonts w:ascii="Times New Roman" w:hAnsi="Times New Roman" w:cs="Times New Roman"/>
          <w:color w:val="000000" w:themeColor="text1"/>
        </w:rPr>
        <w:t xml:space="preserve">филактики рисков причинения вреда (ущерба) охраняемым законом ценностям в рамках осуществления инспекцией государственного строительного надзора Новосибирской области регионального государственного строительного надзора на территории Новосибирской области </w:t>
      </w:r>
      <w:r>
        <w:rPr>
          <w:rFonts w:ascii="Times New Roman" w:hAnsi="Times New Roman" w:cs="Times New Roman"/>
          <w:color w:val="000000" w:themeColor="text1"/>
          <w:shd w:val="clear" w:color="auto" w:fill="ffffff" w:themeFill="background1"/>
        </w:rPr>
        <w:t xml:space="preserve">на 2025 год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ПАСПОРТ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0" w:type="auto"/>
        <w:tblInd w:w="-80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126"/>
        <w:gridCol w:w="7939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pStyle w:val="712"/>
              <w:jc w:val="both"/>
              <w:spacing w:before="0" w:line="240" w:lineRule="auto"/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  <w:t xml:space="preserve">Программа профилактики рисков причинения вреда (ущерба) о</w:t>
            </w: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  <w:t xml:space="preserve">храняемым законом ценностям в рамках осуществления инспекцией государственного строительного надзора Новосибирской области регионального государственного строительного надзора на территории Новосибирской области на 2025 год (далее – программа профилактики)</w:t>
            </w: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</w: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Правовые основания разработки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31.07.2020 № 248-ФЗ «О государственном контроле (надзоре) и муниципальном контроле в Российской Федерации» (далее – Федеральный закон № 248-ФЗ);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Правительства РФ от 25.06.2021 № 990 «Об 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Правительства Новосибирской области от 26.10.2021 № 435-п «О региональном государственном строительном надзоре на территории Новосибирской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инспекция государственного строительного надзора Новосибирской области (далее – инспекция)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программы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стимулирование добросовестного соблюдения обязательных требований всеми контролируемыми лицами;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устранение условий, причин и факторов, способных привести к нарушению обязательных требований и (или) причинению вреда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(ущерба) охраняемым законом ценностям;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создание условий для доведения обязательных требований до контролируемых лиц, повышение информированности о способах их соблюдения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Задачи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выявление факторов риска причинения вреда охраняемым законом ценностям, причин и условий, способствующих нарушению обязательных требований, установленных законодательством Российской Федерации;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создание условий для изменения ценностного отношения контролируемых лиц к добросовестному поведению в сфере обеспечения безопасности, формирования позитивной ответственности за свои действия (бездействие), поддержания мотивации в данной сфере;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формирование единообразного понимания установленных обязательных требований у должностных лиц инспекции и контролируемых лиц;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профилактических мероприятий,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сроки (периодичность) их проведения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профилактических мероприятий, сроки (периодичность) их проведения приведены в приложении 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Источники финансирования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программы профилактики осуществляется в рамках текущего финансирования деятельности инспекции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Ожидаемые конечные результаты реализации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снижение рисков причинения вреда охраняемым законом ценностям;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уровня правовой грамотности контролируемых лиц;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уровня информированности контролируемых лиц об обязательных требованиях в сфере строительства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разработке программы профилактики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Проект программы профилактики рассмотрен общественным советом при инспекции государственного строительного надзора Новосибирской области и признан соответствующим требованиям законодательства Российской Федерации (протокол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от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 w:cs="Times New Roman CYR"/>
                <w:sz w:val="28"/>
                <w:szCs w:val="28"/>
                <w:highlight w:val="lightGray"/>
              </w:rPr>
              <w:t xml:space="preserve">___________ № __).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12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rPr>
          <w:sz w:val="6"/>
        </w:rPr>
      </w:pPr>
      <w:r>
        <w:rPr>
          <w:sz w:val="6"/>
        </w:rPr>
      </w:r>
      <w:r>
        <w:rPr>
          <w:sz w:val="6"/>
        </w:rPr>
      </w:r>
      <w:r>
        <w:rPr>
          <w:sz w:val="6"/>
        </w:rPr>
      </w:r>
    </w:p>
    <w:p>
      <w:pPr>
        <w:pStyle w:val="712"/>
        <w:jc w:val="center"/>
        <w:spacing w:before="0" w:line="240" w:lineRule="auto"/>
        <w:rPr>
          <w:rFonts w:ascii="Times New Roman" w:hAnsi="Times New Roman" w:cs="Times New Roman"/>
          <w:color w:val="000000" w:themeColor="text1"/>
          <w:sz w:val="8"/>
        </w:rPr>
      </w:pPr>
      <w:r>
        <w:rPr>
          <w:rFonts w:ascii="Times New Roman" w:hAnsi="Times New Roman" w:cs="Times New Roman"/>
          <w:color w:val="000000" w:themeColor="text1"/>
          <w:sz w:val="8"/>
        </w:rPr>
      </w:r>
      <w:r>
        <w:rPr>
          <w:rFonts w:ascii="Times New Roman" w:hAnsi="Times New Roman" w:cs="Times New Roman"/>
          <w:color w:val="000000" w:themeColor="text1"/>
          <w:sz w:val="8"/>
        </w:rPr>
      </w:r>
      <w:r>
        <w:rPr>
          <w:rFonts w:ascii="Times New Roman" w:hAnsi="Times New Roman" w:cs="Times New Roman"/>
          <w:color w:val="000000" w:themeColor="text1"/>
          <w:sz w:val="8"/>
        </w:rPr>
      </w:r>
    </w:p>
    <w:p>
      <w:pPr>
        <w:pStyle w:val="712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Раздел 1. Анализ текущего состояния осуществления регионального государственного строительного надзора, описание текущего развития профилактической деятельности инспекции, характеристика проблем, на решение которых направлена программа профилактики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r/>
      <w:r/>
    </w:p>
    <w:p>
      <w:pPr>
        <w:pStyle w:val="884"/>
        <w:numPr>
          <w:ilvl w:val="1"/>
          <w:numId w:val="13"/>
        </w:numPr>
        <w:jc w:val="both"/>
        <w:spacing w:after="0" w:line="240" w:lineRule="auto"/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  <w:t xml:space="preserve">Описание видов и типов поднадзорных объектов (субъектов)</w:t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</w:p>
    <w:p>
      <w:pPr>
        <w:pStyle w:val="884"/>
        <w:ind w:left="141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Положением об инспекции государственного строительного надзора Новосибирской области, утвержденным постановлением Правительства Новосибирской области от 18.10.2016 № 342-п, инспекция государственного строительного надзора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является областным исполнительным органом Новосибирской области, уполномоченным на осуществление регионального государственного строительного надзора в случаях, предусмотренных Градостроительным кодексом Российской Федерации (далее –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Государственный строительный надзор в соответствии с частью 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осуществляется: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при строительстве объектов капитального строительства, проектная документация которых подлежит экспертизе в соответствии со статьей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 РФ, за исключением случая, предусмотренного частью 3.3 статьи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при реконструкции объектов капитального строительства, в том числе при проведении работ по сохранению объектов культурного наследия, затрагивающих конструктивные и другие характеристики наде</w:t>
      </w:r>
      <w:r>
        <w:rPr>
          <w:rFonts w:ascii="Times New Roman" w:hAnsi="Times New Roman" w:cs="Times New Roman"/>
          <w:sz w:val="28"/>
          <w:szCs w:val="28"/>
        </w:rPr>
        <w:t xml:space="preserve">жности и безопасности таких объектов, если проектная документация на осуществление реконструкции объектов капитального строительства, в том числе указанных работ по сохранению объектов культурного наследия, подлежит экспертизе в соответствии со статьей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за исключением случая, предусмотренного частью 3.3</w:t>
      </w:r>
      <w:r>
        <w:rPr>
          <w:rFonts w:ascii="Times New Roman" w:hAnsi="Times New Roman" w:cs="Times New Roman"/>
          <w:sz w:val="28"/>
          <w:szCs w:val="28"/>
        </w:rPr>
        <w:t xml:space="preserve"> статьи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части 2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законодатель привел основания, указанные в Федеральном законе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248-ФЗ, при наличии которых осуществляется государственный строительный надзор в отношении объектов, не указанных в части 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01.07.2024 инспекция осуществляет региональный государственный строительный надзор в отношении 1021 объекта капитального строительства и реконструкции, в том числе: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- 486 многоквартирных жилых домов;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- 34 объекта учебно-воспитательного назначения;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- 31 объе</w:t>
      </w:r>
      <w:r>
        <w:rPr>
          <w:rFonts w:ascii="Times New Roman" w:hAnsi="Times New Roman" w:cs="Times New Roman"/>
          <w:sz w:val="28"/>
          <w:szCs w:val="28"/>
        </w:rPr>
        <w:t xml:space="preserve">кт здр</w:t>
      </w:r>
      <w:r>
        <w:rPr>
          <w:rFonts w:ascii="Times New Roman" w:hAnsi="Times New Roman" w:cs="Times New Roman"/>
          <w:sz w:val="28"/>
          <w:szCs w:val="28"/>
        </w:rPr>
        <w:t xml:space="preserve">авоохранения и социального обслуживания,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- 32 объекта для культурно-досуговой деятельности населения;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- 28 гостиниц;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- 35 зданий общественного и административного назначения;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- 32 здания торговли и общественного питания;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- 104 здания и сооружения производственного и складского назначения;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- 34 объекта инженерного обеспечения и связи, из них 14 скважин и водозаборов;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- 30 объектов транспортной инфраструктуры, в том числе 29 подземных и надземных открытых автостоянок и гаражных комплексов;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- 30 объектов энергетики;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- 92 </w:t>
      </w:r>
      <w:r>
        <w:rPr>
          <w:rFonts w:ascii="Times New Roman" w:hAnsi="Times New Roman" w:cs="Times New Roman"/>
          <w:sz w:val="28"/>
          <w:szCs w:val="28"/>
        </w:rPr>
        <w:t xml:space="preserve">линейных</w:t>
      </w:r>
      <w:r>
        <w:rPr>
          <w:rFonts w:ascii="Times New Roman" w:hAnsi="Times New Roman" w:cs="Times New Roman"/>
          <w:sz w:val="28"/>
          <w:szCs w:val="28"/>
        </w:rPr>
        <w:t xml:space="preserve"> объекта, в том числе: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 газопровод;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33 объекта сетей водопровода и канализации;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44 автодороги, общей протяженностью 48,376 км;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14 автомобильных и пешеходных мостов;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- 53 прочих объекта.</w:t>
      </w: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 п. 83 Положения о региональном государственном строительном надзоре на территории Новосибирской области, утвержденным постановлением Правительства Новосибирской области от 26.10.2021 № 435-п, при осуществлении регионального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государственного строительного надзора применяется система оценки и управления рисками причинения вреда (ущерба) охраняемым законом ценностям, определяющая выбор проводимых инспекцией профилактических мероприятий, их содержание, интенсивность и результаты.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целей управления рисками причинения вреда (ущерба) при осуществлении регионального государственного строительного надзора инспекция относит объекты контроля к одной из следующих категорий риска причинения вреда (ущерба) (далее – категории риска):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высокий риск</w:t>
      </w:r>
      <w:r>
        <w:rPr>
          <w:rFonts w:ascii="Times New Roman" w:hAnsi="Times New Roman"/>
          <w:sz w:val="28"/>
          <w:szCs w:val="28"/>
          <w:lang w:eastAsia="ru-RU"/>
        </w:rPr>
        <w:t xml:space="preserve"> – общественные здания и сооружения, многоквартирные жилые дома, путепроводы, тоннели, мосты и эстакады, а также объекты капитального строительства с пролетом от 20 до 100 метров;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значительный риск</w:t>
      </w:r>
      <w:r>
        <w:rPr>
          <w:rFonts w:ascii="Times New Roman" w:hAnsi="Times New Roman"/>
          <w:sz w:val="28"/>
          <w:szCs w:val="28"/>
          <w:lang w:eastAsia="ru-RU"/>
        </w:rPr>
        <w:t xml:space="preserve"> – производственные здания;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низкий риск</w:t>
      </w:r>
      <w:r>
        <w:rPr>
          <w:rFonts w:ascii="Times New Roman" w:hAnsi="Times New Roman"/>
          <w:sz w:val="28"/>
          <w:szCs w:val="28"/>
          <w:lang w:eastAsia="ru-RU"/>
        </w:rPr>
        <w:t xml:space="preserve"> – объекты капитального строительства, не указанные в пунктах 1 и 2.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Отнесение объектов регионального государственного строительного надзора к определенной категории риска осуществляется приказом инспекции после получения извещения о начале строительства (реконструкции) объекта капитального строительства.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Распределение объектов государственного строительного надзора                         по категориям риска по состоянию на 01.07.2024 приведено на рисунке 1.</w:t>
      </w:r>
      <w:r>
        <w:rPr>
          <w:rFonts w:ascii="Times New Roman" w:hAnsi="Times New Roman" w:cs="Times New Roman"/>
          <w:iCs/>
          <w:sz w:val="28"/>
          <w:szCs w:val="28"/>
        </w:rPr>
      </w:r>
      <w:r>
        <w:rPr>
          <w:rFonts w:ascii="Times New Roman" w:hAnsi="Times New Roman" w:cs="Times New Roman"/>
          <w:iCs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iCs/>
          <w:sz w:val="28"/>
          <w:szCs w:val="28"/>
        </w:rPr>
      </w:pPr>
      <w:r>
        <w:rPr>
          <w:lang w:eastAsia="ru-RU"/>
        </w:rPr>
        <w:drawing>
          <wp:inline distT="0" distB="0" distL="0" distR="0">
            <wp:extent cx="5346592" cy="2091680"/>
            <wp:effectExtent l="4762" t="4762" r="4762" b="4762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>
        <w:rPr>
          <w:rFonts w:ascii="Times New Roman" w:hAnsi="Times New Roman" w:cs="Times New Roman"/>
          <w:iCs/>
          <w:sz w:val="28"/>
          <w:szCs w:val="28"/>
        </w:rPr>
      </w:r>
      <w:r>
        <w:rPr>
          <w:rFonts w:ascii="Times New Roman" w:hAnsi="Times New Roman" w:cs="Times New Roman"/>
          <w:iCs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с п. 6 Общих требований к организации и осуществлению регионального государственного строительного надзора, утвержденных постановлением Правительства РФ от 01 декабря 2021 г. № 2161, объектами регионального государственного строительного надзора являются: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 деятельность, действия (бездействие)</w:t>
      </w:r>
      <w:r>
        <w:rPr>
          <w:rFonts w:ascii="Times New Roman" w:hAnsi="Times New Roman" w:cs="Times New Roman"/>
          <w:sz w:val="28"/>
          <w:szCs w:val="28"/>
        </w:rPr>
        <w:t xml:space="preserve"> застройщика, технического заказчика и лица, осуществляющего строительство, реконструкцию объекта капитального строительства (далее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контролируемые лица), по строительству, реконструкции объектов капитального строительства, указанных в части 11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в случаях, установленных частями 1 и 2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 объекты капитального строительства, которыми граждане и организации владеют и (или) пользуются и которые указаны в части 11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в случаях, установленных частями 1 и 2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4"/>
        <w:ind w:firstLine="709"/>
        <w:jc w:val="both"/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Контролируемыми лицами при осуществлении инспекцией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регионального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государственного строительного надзора являются: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  <w:t xml:space="preserve">1) застройщик:</w:t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16 статьи 1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– физическое или юридическое лицо, обеспечивающее на принадлежащем ему земельном участке или на земельном участке и</w:t>
      </w:r>
      <w:r>
        <w:rPr>
          <w:rFonts w:ascii="Times New Roman" w:hAnsi="Times New Roman" w:cs="Times New Roman"/>
          <w:sz w:val="28"/>
          <w:szCs w:val="28"/>
        </w:rPr>
        <w:t xml:space="preserve">ного правообладателя (которому при осуществлении бюджетных инвестиций в объекты капитального строительства государственной (муниципальной) собственности органы государственной власти (государственные органы), Государственная корпорация по атомной энергии «</w:t>
      </w:r>
      <w:r>
        <w:rPr>
          <w:rFonts w:ascii="Times New Roman" w:hAnsi="Times New Roman" w:cs="Times New Roman"/>
          <w:sz w:val="28"/>
          <w:szCs w:val="28"/>
        </w:rPr>
        <w:t xml:space="preserve">Росатом</w:t>
      </w:r>
      <w:r>
        <w:rPr>
          <w:rFonts w:ascii="Times New Roman" w:hAnsi="Times New Roman" w:cs="Times New Roman"/>
          <w:sz w:val="28"/>
          <w:szCs w:val="28"/>
        </w:rPr>
        <w:t xml:space="preserve">», Государственная корпорация по космической деятельности «</w:t>
      </w:r>
      <w:r>
        <w:rPr>
          <w:rFonts w:ascii="Times New Roman" w:hAnsi="Times New Roman" w:cs="Times New Roman"/>
          <w:sz w:val="28"/>
          <w:szCs w:val="28"/>
        </w:rPr>
        <w:t xml:space="preserve">Роскосмос</w:t>
      </w:r>
      <w:r>
        <w:rPr>
          <w:rFonts w:ascii="Times New Roman" w:hAnsi="Times New Roman" w:cs="Times New Roman"/>
          <w:sz w:val="28"/>
          <w:szCs w:val="28"/>
        </w:rPr>
        <w:t xml:space="preserve">», органы управления государственными внебюджетными фондами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</w:t>
      </w:r>
      <w:r>
        <w:rPr>
          <w:rFonts w:ascii="Times New Roman" w:hAnsi="Times New Roman" w:cs="Times New Roman"/>
          <w:sz w:val="28"/>
          <w:szCs w:val="28"/>
        </w:rPr>
        <w:t xml:space="preserve">аны местного самоуправления передали в случаях, установленных бюджетным законодательством Российской Федерации, на основании соглашений свои полномочия государственного (муниципального) заказчика или которому в соответствии со статьей 13.3 Федерального зак</w:t>
      </w:r>
      <w:r>
        <w:rPr>
          <w:rFonts w:ascii="Times New Roman" w:hAnsi="Times New Roman" w:cs="Times New Roman"/>
          <w:sz w:val="28"/>
          <w:szCs w:val="28"/>
        </w:rPr>
        <w:t xml:space="preserve">она от 29 июля 2017 года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218-ФЗ «О публично-правовой компании «Фонд развития территорий» и о </w:t>
      </w:r>
      <w:r>
        <w:rPr>
          <w:rFonts w:ascii="Times New Roman" w:hAnsi="Times New Roman" w:cs="Times New Roman"/>
          <w:sz w:val="28"/>
          <w:szCs w:val="28"/>
        </w:rPr>
        <w:t xml:space="preserve">внесении изменений в отдельные законодательные акты Российской Федерации» передали на основании соглашений свои функции застройщика) строительство, реконструкцию</w:t>
      </w:r>
      <w:r>
        <w:rPr>
          <w:rFonts w:ascii="Times New Roman" w:hAnsi="Times New Roman" w:cs="Times New Roman"/>
          <w:sz w:val="28"/>
          <w:szCs w:val="28"/>
        </w:rPr>
        <w:t xml:space="preserve">, капитальный ремонт, снос объектов капитального строительства, а также вы</w:t>
      </w:r>
      <w:r>
        <w:rPr>
          <w:rFonts w:ascii="Times New Roman" w:hAnsi="Times New Roman" w:cs="Times New Roman"/>
          <w:sz w:val="28"/>
          <w:szCs w:val="28"/>
        </w:rPr>
        <w:t xml:space="preserve">полнение инженерных изысканий, подготовку проектной документации для их строительства, реконструкции, капитального ремонта. Застройщик вправе передать свои функции, предусмотренные законодательством о градостроительной деятельности, техническому заказчику;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  <w:t xml:space="preserve">2) технический заказчик:</w:t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22 статьи 1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– юридическое лицо, которое уполномочено застройщиком и от имени застройщика заключает договоры о выполнении инженерных изысканий, о подготовке проектной документации, о строительстве, реконструкции, капитальном ремонте, сносе объекто</w:t>
      </w:r>
      <w:r>
        <w:rPr>
          <w:rFonts w:ascii="Times New Roman" w:hAnsi="Times New Roman" w:cs="Times New Roman"/>
          <w:sz w:val="28"/>
          <w:szCs w:val="28"/>
        </w:rPr>
        <w:t xml:space="preserve">в капитального строительства, подготавливает задания на выполнение указанных видов работ, предоставляет лицам, выполняющим инженерные изыскания и (или) осуществляющим подготовку проектной документации, строительство, реконструкцию, капитальный ремонт, снос</w:t>
      </w:r>
      <w:r>
        <w:rPr>
          <w:rFonts w:ascii="Times New Roman" w:hAnsi="Times New Roman" w:cs="Times New Roman"/>
          <w:sz w:val="28"/>
          <w:szCs w:val="28"/>
        </w:rPr>
        <w:t xml:space="preserve"> объектов капитального строительства, материалы и документы, необходимые для выполнения указанных видов работ, </w:t>
      </w:r>
      <w:r>
        <w:rPr>
          <w:rFonts w:ascii="Times New Roman" w:hAnsi="Times New Roman" w:cs="Times New Roman"/>
          <w:sz w:val="28"/>
          <w:szCs w:val="28"/>
        </w:rPr>
        <w:t xml:space="preserve">утверждает проектную документацию, подпи</w:t>
      </w:r>
      <w:r>
        <w:rPr>
          <w:rFonts w:ascii="Times New Roman" w:hAnsi="Times New Roman" w:cs="Times New Roman"/>
          <w:sz w:val="28"/>
          <w:szCs w:val="28"/>
        </w:rPr>
        <w:t xml:space="preserve">сывает документы, необходимые для получения разрешения на ввод объекта капитального строительства в эксплуатацию, осуществляет иные функции, предусмотренные законодательством о градостроительной деятельности (далее также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функции технического заказчика). </w:t>
      </w:r>
      <w:r>
        <w:rPr>
          <w:rFonts w:ascii="Times New Roman" w:hAnsi="Times New Roman" w:cs="Times New Roman"/>
          <w:sz w:val="28"/>
          <w:szCs w:val="28"/>
        </w:rPr>
        <w:t xml:space="preserve">Функции технического заказчика могут выполняться только члено</w:t>
      </w:r>
      <w:r>
        <w:rPr>
          <w:rFonts w:ascii="Times New Roman" w:hAnsi="Times New Roman" w:cs="Times New Roman"/>
          <w:sz w:val="28"/>
          <w:szCs w:val="28"/>
        </w:rPr>
        <w:t xml:space="preserve">м соответственно саморегулируемой организации в области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за исключением случаев, предусмотренных </w:t>
      </w:r>
      <w:hyperlink r:id="rId12" w:tooltip="consultantplus://offline/ref=131CC43B81ECCCB612C55E389A691AD51CDB41F24D35CC9149329389DC7A974CAC93EE67B18C87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частью 2.1 статьи 47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3" w:tooltip="consultantplus://offline/ref=131CC43B81ECCCB612C55E389A691AD51CDB41F24D35CC9149329389DC7A974CAC93EE67B18382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частью 4.1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tooltip="consultantplus://offline/ref=131CC43B81ECCCB612C55E389A691AD51CDB41F24D35CC9149329389DC7A974CAC93EE67B18287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частями 2.1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5" w:tooltip="consultantplus://offline/ref=131CC43B81ECCCB612C55E389A691AD51CDB41F24D35CC9149329389DC7A974CAC93EE67B18286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2.2 статьи 52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6" w:tooltip="consultantplus://offline/ref=131CC43B81ECCCB612C55E389A691AD51CDB41F24D35CC9149329389DC7A974CAC93EE64B08E86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частями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7" w:tooltip="consultantplus://offline/ref=131CC43B81ECCCB612C55E389A691AD51CDB41F24D35CC9149329389DC7A974CAC93EE64B08E89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6 статьи 55.31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  <w:t xml:space="preserve">3) лицо, осуществляющее строительство</w:t>
      </w:r>
      <w:r>
        <w:rPr>
          <w:rFonts w:ascii="Times New Roman" w:hAnsi="Times New Roman" w:cs="Times New Roman"/>
          <w:b/>
          <w:sz w:val="28"/>
          <w:szCs w:val="28"/>
        </w:rPr>
        <w:t xml:space="preserve">, реконструкцию, капитальный ремонт объекта капитального строительства </w:t>
      </w:r>
      <w:r>
        <w:rPr>
          <w:rFonts w:ascii="Times New Roman" w:hAnsi="Times New Roman" w:cs="Times New Roman"/>
          <w:sz w:val="28"/>
          <w:szCs w:val="28"/>
        </w:rPr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лицо, осуществляющее строительство)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в соответствии с частью 3 статьи 52 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ГрК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 РФ л</w:t>
      </w:r>
      <w:r>
        <w:rPr>
          <w:rFonts w:ascii="Times New Roman" w:hAnsi="Times New Roman" w:cs="Times New Roman"/>
          <w:sz w:val="28"/>
          <w:szCs w:val="28"/>
        </w:rPr>
        <w:t xml:space="preserve">ицом, осуществляющим строительство, может являться застройщик либо индивидуальный предприниматель или юридическое лицо, заключившие договор строительного подряда. </w:t>
      </w:r>
      <w:r>
        <w:rPr>
          <w:rFonts w:ascii="Times New Roman" w:hAnsi="Times New Roman" w:cs="Times New Roman"/>
          <w:sz w:val="28"/>
          <w:szCs w:val="28"/>
        </w:rPr>
        <w:t xml:space="preserve">Лицо, осуществляющее строительство, обеспечивает соблюдение требований проектной документации, технических регламентов, техники безопасности в процессе указанных р</w:t>
      </w:r>
      <w:r>
        <w:rPr>
          <w:rFonts w:ascii="Times New Roman" w:hAnsi="Times New Roman" w:cs="Times New Roman"/>
          <w:sz w:val="28"/>
          <w:szCs w:val="28"/>
        </w:rPr>
        <w:t xml:space="preserve">абот и несет ответственность за качество выполненных работ и их соответствие требованиям проектной документации и (или) информационной модели (в случае, если формирование и ведение информационной модели являются обязательными в соответствии с требованиями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13"/>
        <w:jc w:val="center"/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1.2. Статистические показатели состояния контролируемой сферы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spacing w:after="0" w:line="240" w:lineRule="auto"/>
        <w:shd w:val="clear" w:color="auto" w:fill="ffffff" w:themeFill="background1"/>
      </w:pPr>
      <w:r/>
      <w:r/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Региональный государственный строительный надзор осуществляется посредством организации и проведения контрольных (надзорных) мероприятий в отношении контролируемых лиц.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3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предметом государственного строительного надзора в отношении объектов капитального строительства, указанных в части 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является соблюдение: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соответ</w:t>
      </w:r>
      <w:r>
        <w:rPr>
          <w:rFonts w:ascii="Times New Roman" w:hAnsi="Times New Roman" w:cs="Times New Roman"/>
          <w:sz w:val="28"/>
          <w:szCs w:val="28"/>
        </w:rPr>
        <w:t xml:space="preserve">ствия выполняемых работ и применяемых строительных материалов и изделий в процессе строительства, реконструкции объекта капитального строительства, а также результатов таких работ требованиям утвержденной в соответствии с частями 15, 15.2 и 15.3 статьи 48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проектной документации (в том числе с учетом изменений, внесенных в рабочую документацию и являющихся в соответствии с частью 1.3 статьи 52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частью такой</w:t>
      </w:r>
      <w:r>
        <w:rPr>
          <w:rFonts w:ascii="Times New Roman" w:hAnsi="Times New Roman" w:cs="Times New Roman"/>
          <w:sz w:val="28"/>
          <w:szCs w:val="28"/>
        </w:rPr>
        <w:t xml:space="preserve"> проектной документации) и (или) информационной модели (в случае, если формирование и ведение информационной модели являются обязательными в соответствии с требованиями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РФ);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наличия разрешения на строительство;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выполнения требований, установленных частями 2, 3 и 3.1 статьи 52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 РФ;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выполнения требований, установленных частью 4 статьи 52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к обеспечению консервации объекта капитального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выполнения требований к порядку осуществления строительного контроля, установленных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иными нормативными правовыми актами.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Предметом государственного строительного надзора в отношении объектов, указанных в части 2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являются соблюдение: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требован</w:t>
      </w:r>
      <w:r>
        <w:rPr>
          <w:rFonts w:ascii="Times New Roman" w:hAnsi="Times New Roman" w:cs="Times New Roman"/>
          <w:sz w:val="28"/>
          <w:szCs w:val="28"/>
        </w:rPr>
        <w:t xml:space="preserve">ий наличия разрешения на строительство и соответствия объекта капитального строительства параметрам, указанным в разрешении на строительство, если разрешение на строительство требуется для строительства или реконструкции объекта капитального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соответствия параметров объектов капитального строительства предельным параметрам разрешен</w:t>
      </w:r>
      <w:r>
        <w:rPr>
          <w:rFonts w:ascii="Times New Roman" w:hAnsi="Times New Roman" w:cs="Times New Roman"/>
          <w:sz w:val="28"/>
          <w:szCs w:val="28"/>
        </w:rPr>
        <w:t xml:space="preserve">ного строительства, реконструкции объектов капитального строительства, установленным правилами землепользования и застройки, документацией по планировке территории, и обязательным требованиям к параметрам объектов капитального строительства, установленным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другими федеральными законами, если для строительства или реконструкции объекта капитального строительства не требуется разрешение на строительство.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Застройщик обязан обеспечить должностным лицам органа государственного строительного надзора доступ на объекты капитального строительства в целях п</w:t>
      </w:r>
      <w:r>
        <w:rPr>
          <w:rFonts w:ascii="Times New Roman" w:hAnsi="Times New Roman" w:cs="Times New Roman"/>
          <w:sz w:val="28"/>
          <w:szCs w:val="28"/>
        </w:rPr>
        <w:t xml:space="preserve">роведения соответствующего контрольного (надзорного) мероприятия. Контролируемому лицу (его представителю) инспектором, в том числе руководителем группы инспекторов, предъявляются служебное удостоверение, заверенная печатью бумажная копия либо решение о пр</w:t>
      </w:r>
      <w:r>
        <w:rPr>
          <w:rFonts w:ascii="Times New Roman" w:hAnsi="Times New Roman" w:cs="Times New Roman"/>
          <w:sz w:val="28"/>
          <w:szCs w:val="28"/>
        </w:rPr>
        <w:t xml:space="preserve">оведении контрольного (надзорного) мероприятия в форме электронного документа, подписанного квалифицированной электронной подписью, а также сообщается учетный номер контрольного (надзорного) мероприятия в едином реестре контрольных (надзорных)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 xml:space="preserve">В 1 полугодии 2024 года  инспекцией было проведено 1292 контрольных (</w:t>
      </w:r>
      <w:r>
        <w:rPr>
          <w:rFonts w:ascii="Times New Roman" w:hAnsi="Times New Roman" w:cs="Times New Roman"/>
          <w:sz w:val="28"/>
          <w:szCs w:val="28"/>
        </w:rPr>
        <w:t xml:space="preserve">надзорных) </w:t>
      </w:r>
      <w:r>
        <w:rPr>
          <w:rFonts w:ascii="Times New Roman" w:hAnsi="Times New Roman" w:cs="Times New Roman"/>
          <w:sz w:val="28"/>
          <w:szCs w:val="28"/>
        </w:rPr>
        <w:t xml:space="preserve">мероприятия, выяв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лено 1091 нарушение обязательных требований.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Информация о проведенных</w:t>
      </w:r>
      <w:r>
        <w:rPr>
          <w:rFonts w:ascii="Times New Roman" w:hAnsi="Times New Roman" w:cs="Times New Roman"/>
          <w:sz w:val="28"/>
          <w:szCs w:val="28"/>
        </w:rPr>
        <w:t xml:space="preserve"> инспекцией контрольных (надзорных) мероприятий в 1 полугодии 2024 года приведена в таблице № 1.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</w:r>
      <w:r>
        <w:rPr>
          <w:rFonts w:ascii="Times New Roman" w:hAnsi="Times New Roman" w:cs="Times New Roman"/>
          <w:color w:val="ff0000"/>
          <w:sz w:val="28"/>
          <w:szCs w:val="28"/>
        </w:rPr>
      </w:r>
      <w:r>
        <w:rPr>
          <w:rFonts w:ascii="Times New Roman" w:hAnsi="Times New Roman" w:cs="Times New Roman"/>
          <w:color w:val="ff0000"/>
          <w:sz w:val="28"/>
          <w:szCs w:val="28"/>
        </w:rPr>
      </w:r>
    </w:p>
    <w:p>
      <w:pPr>
        <w:ind w:firstLine="708"/>
        <w:jc w:val="right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 1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85"/>
        <w:tblW w:w="978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17"/>
        <w:gridCol w:w="1433"/>
        <w:gridCol w:w="1223"/>
        <w:gridCol w:w="1329"/>
        <w:gridCol w:w="1329"/>
        <w:gridCol w:w="1229"/>
        <w:gridCol w:w="1011"/>
        <w:gridCol w:w="1118"/>
      </w:tblGrid>
      <w:tr>
        <w:tblPrEx/>
        <w:trPr>
          <w:trHeight w:val="564"/>
        </w:trPr>
        <w:tc>
          <w:tcPr>
            <w:gridSpan w:val="2"/>
            <w:shd w:val="clear" w:color="auto" w:fill="auto"/>
            <w:tcW w:w="326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Проведено контрольных (надзорных) мероприятий: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Выездная проверка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Документарная проверка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Инспекционный визит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Рейдовый осмотр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Выездное обследование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ind w:left="-108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Мониторинг безопасности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</w:tr>
      <w:tr>
        <w:tblPrEx/>
        <w:trPr>
          <w:trHeight w:val="310"/>
        </w:trPr>
        <w:tc>
          <w:tcPr>
            <w:gridSpan w:val="2"/>
            <w:shd w:val="clear" w:color="auto" w:fill="auto"/>
            <w:tcW w:w="326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программам проверок: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1029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26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310"/>
        </w:trPr>
        <w:tc>
          <w:tcPr>
            <w:gridSpan w:val="2"/>
            <w:shd w:val="clear" w:color="auto" w:fill="auto"/>
            <w:tcW w:w="326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контролю исполнения предписаний: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shd w:val="clear" w:color="auto" w:fill="auto"/>
            <w:tcW w:w="1418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заявлениям и обращениям: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  <w:p>
            <w:pPr>
              <w:ind w:firstLine="708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843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ч. 1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ст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 54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ГрК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tabs>
                <w:tab w:val="left" w:pos="1125" w:leader="none"/>
              </w:tabs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2 (о возникновении угрозы причинения вреда жизни, здоровью граждан, вреда животным, 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растениям, окружающей среде, объектам культурного наследия)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tabs>
                <w:tab w:val="left" w:pos="1125" w:leader="none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tabs>
                <w:tab w:val="left" w:pos="1125" w:leader="none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14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shd w:val="clear" w:color="auto" w:fill="auto"/>
            <w:tcW w:w="1418" w:type="dxa"/>
            <w:vMerge w:val="continue"/>
            <w:textDirection w:val="lrTb"/>
            <w:noWrap w:val="false"/>
          </w:tcPr>
          <w:p>
            <w:pPr>
              <w:ind w:firstLine="708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843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ч. 2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ст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 54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ГрК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147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gridSpan w:val="2"/>
            <w:shd w:val="clear" w:color="auto" w:fill="auto"/>
            <w:tcW w:w="3261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  <w:t xml:space="preserve">по требованиям прокуратуры:</w:t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gridSpan w:val="2"/>
            <w:shd w:val="clear" w:color="auto" w:fill="auto"/>
            <w:tcW w:w="3261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  <w:t xml:space="preserve">выявление индикатора риска</w:t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57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310"/>
        </w:trPr>
        <w:tc>
          <w:tcPr>
            <w:gridSpan w:val="2"/>
            <w:shd w:val="clear" w:color="auto" w:fill="auto"/>
            <w:tcW w:w="3261" w:type="dxa"/>
            <w:textDirection w:val="lrTb"/>
            <w:noWrap/>
          </w:tcPr>
          <w:p>
            <w:pPr>
              <w:jc w:val="both"/>
              <w:spacing w:before="240"/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  <w:t xml:space="preserve">ИТОГО: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</w:p>
          <w:p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1037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30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7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218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</w:tbl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/>
          <w:sz w:val="10"/>
          <w:szCs w:val="28"/>
        </w:rPr>
      </w:pPr>
      <w:r>
        <w:rPr>
          <w:rFonts w:ascii="Times New Roman" w:hAnsi="Times New Roman" w:cs="Times New Roman"/>
          <w:b/>
          <w:sz w:val="10"/>
          <w:szCs w:val="28"/>
        </w:rPr>
      </w:r>
      <w:r>
        <w:rPr>
          <w:rFonts w:ascii="Times New Roman" w:hAnsi="Times New Roman" w:cs="Times New Roman"/>
          <w:b/>
          <w:sz w:val="10"/>
          <w:szCs w:val="28"/>
        </w:rPr>
      </w:r>
      <w:r>
        <w:rPr>
          <w:rFonts w:ascii="Times New Roman" w:hAnsi="Times New Roman" w:cs="Times New Roman"/>
          <w:b/>
          <w:sz w:val="10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состоянию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01.07.2024</w:t>
      </w:r>
      <w:r>
        <w:rPr>
          <w:rFonts w:ascii="Times New Roman" w:hAnsi="Times New Roman" w:cs="Times New Roman"/>
          <w:sz w:val="1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произошло увеличение количества проведенных контрольных (надзорных) мероприятий в расчете на одного инспектора, о чем свидетельствуют показатели таблицы № 2.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"/>
          <w:szCs w:val="8"/>
        </w:rPr>
      </w:pPr>
      <w:r>
        <w:rPr>
          <w:rFonts w:ascii="Times New Roman" w:hAnsi="Times New Roman" w:cs="Times New Roman"/>
          <w:sz w:val="2"/>
          <w:szCs w:val="8"/>
        </w:rPr>
      </w:r>
      <w:r>
        <w:rPr>
          <w:rFonts w:ascii="Times New Roman" w:hAnsi="Times New Roman" w:cs="Times New Roman"/>
          <w:sz w:val="2"/>
          <w:szCs w:val="8"/>
        </w:rPr>
      </w:r>
      <w:r>
        <w:rPr>
          <w:rFonts w:ascii="Times New Roman" w:hAnsi="Times New Roman" w:cs="Times New Roman"/>
          <w:sz w:val="2"/>
          <w:szCs w:val="8"/>
        </w:rPr>
      </w:r>
    </w:p>
    <w:p>
      <w:pPr>
        <w:jc w:val="right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 2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85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820"/>
        <w:gridCol w:w="2268"/>
        <w:gridCol w:w="2126"/>
      </w:tblGrid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vMerge w:val="restart"/>
            <w:textDirection w:val="lrTb"/>
            <w:noWrap w:val="false"/>
          </w:tcPr>
          <w:p>
            <w:pPr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394" w:type="dxa"/>
            <w:vAlign w:val="center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Период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820" w:type="dxa"/>
            <w:vMerge w:val="continue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ffffff" w:themeFill="background1"/>
            <w:tcW w:w="2268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состоянию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01.07.2024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состоянию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01.07.2023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контрольных (надзорных)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268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1292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инспекторов, осуществляющих проведение контрольных (надзорных)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268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количество контрольных (надзорных) мероприятий, приходящихся на одного инспектора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r>
          </w:p>
        </w:tc>
        <w:tc>
          <w:tcPr>
            <w:shd w:val="clear" w:color="auto" w:fill="ffffff" w:themeFill="background1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29,36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vAlign w:val="center"/>
            <w:textDirection w:val="lrTb"/>
            <w:noWrap w:val="false"/>
          </w:tcPr>
          <w:p>
            <w:pPr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26,25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8"/>
          <w:szCs w:val="28"/>
        </w:rPr>
      </w:pPr>
      <w:r>
        <w:rPr>
          <w:rFonts w:ascii="Times New Roman" w:hAnsi="Times New Roman" w:cs="Times New Roman"/>
          <w:sz w:val="8"/>
          <w:szCs w:val="28"/>
        </w:rPr>
      </w:r>
      <w:r>
        <w:rPr>
          <w:rFonts w:ascii="Times New Roman" w:hAnsi="Times New Roman" w:cs="Times New Roman"/>
          <w:sz w:val="8"/>
          <w:szCs w:val="28"/>
        </w:rPr>
      </w:r>
      <w:r>
        <w:rPr>
          <w:rFonts w:ascii="Times New Roman" w:hAnsi="Times New Roman" w:cs="Times New Roman"/>
          <w:sz w:val="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распространенным видом юридической ответственности в поднадзорной инспекции с</w:t>
      </w:r>
      <w:r>
        <w:rPr>
          <w:rFonts w:ascii="Times New Roman" w:hAnsi="Times New Roman" w:cs="Times New Roman"/>
          <w:sz w:val="28"/>
          <w:szCs w:val="28"/>
        </w:rPr>
        <w:t xml:space="preserve">фере является административная ответственность, установленная нормами Кодекса Российской Федерации об административных правонарушениях (далее – КоАП РФ) направленная на предупреждение, выявление и пресечение нарушений законодательства Российской Федерации.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Динамика применения административного наказания в виде предупреждения приведена на рисунке 2.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10"/>
          <w:szCs w:val="28"/>
        </w:rPr>
      </w:pPr>
      <w:r>
        <w:rPr>
          <w:rFonts w:ascii="Times New Roman" w:hAnsi="Times New Roman" w:cs="Times New Roman"/>
          <w:sz w:val="10"/>
          <w:szCs w:val="28"/>
        </w:rPr>
      </w:r>
      <w:r>
        <w:rPr>
          <w:rFonts w:ascii="Times New Roman" w:hAnsi="Times New Roman" w:cs="Times New Roman"/>
          <w:sz w:val="10"/>
          <w:szCs w:val="28"/>
        </w:rPr>
      </w:r>
      <w:r>
        <w:rPr>
          <w:rFonts w:ascii="Times New Roman" w:hAnsi="Times New Roman" w:cs="Times New Roman"/>
          <w:sz w:val="10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lang w:eastAsia="ru-RU"/>
        </w:rPr>
        <w:drawing>
          <wp:inline distT="0" distB="0" distL="0" distR="0">
            <wp:extent cx="6096901" cy="2371087"/>
            <wp:effectExtent l="4762" t="4762" r="4762" b="4762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</w:r>
      <w:r>
        <w:rPr>
          <w:rFonts w:ascii="Times New Roman" w:hAnsi="Times New Roman" w:cs="Times New Roman"/>
          <w:sz w:val="14"/>
          <w:szCs w:val="14"/>
        </w:rPr>
      </w:r>
      <w:r>
        <w:rPr>
          <w:rFonts w:ascii="Times New Roman" w:hAnsi="Times New Roman" w:cs="Times New Roman"/>
          <w:sz w:val="14"/>
          <w:szCs w:val="14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Анализ составов административных правонарушений КоАП РФ позволяет выделить групп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административных правонарушений в строительстве, групп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административных правонарушений, посягающих на институты государственной власти, групп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административных правонарушений против порядка управления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eastAsia="zh-CN" w:bidi="ar-SA"/>
        </w:rPr>
        <w:t xml:space="preserve">и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группу административных правонарушений, посягающих на общественный порядок и общественную безопасность. К числу первых следует отнести следующие составы: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статья 9.4 КоАП РФ – нарушение обязательных требований в области строительства и применения строительных материалов (изделий);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статья 9.5 КоАП РФ – нарушение установленного порядка строительства, реконструкции, капитального ремонта объекта капитального строительства, ввода его в эксплуатацию;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часть 1 статьи 9.5.1 КоАП РФ –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ыполнение работ по строительству, реконст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рукции лицом, не являющимся членом саморегулируемой организации в области строительства, реконструкции объектов капитального строительства, если для выполнения таких работ членство в такой саморегулируемой организации является обязательным.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Эти составы непосредственно касаются предмета надзорной деятельности инспекции.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 второй группе административных правонарушений относится: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статья 17.7 КоАП РФ –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евыполнение законных требований должностного лица, осуществляющего производство по делу об административном правонарушении.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rFonts w:ascii="Times New Roman" w:hAnsi="Times New Roman" w:eastAsia="Calibri" w:cs="Times New Roman"/>
          <w:color w:val="000000" w:themeColor="text1"/>
          <w:sz w:val="28"/>
          <w:szCs w:val="28"/>
          <w:highlight w:val="none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т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eastAsia="zh-CN" w:bidi="ar-SA"/>
        </w:rPr>
        <w:t xml:space="preserve">ретьей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группе административных правонарушений относ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eastAsia="zh-CN" w:bidi="ar-SA"/>
        </w:rPr>
        <w:t xml:space="preserve">и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тся: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highlight w:val="none"/>
        </w:rPr>
      </w:r>
    </w:p>
    <w:p>
      <w:pPr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eastAsia="Calibri" w:cs="Times New Roman"/>
          <w:color w:val="000000" w:themeColor="text1"/>
          <w:sz w:val="28"/>
          <w:szCs w:val="28"/>
          <w:highlight w:val="none"/>
          <w:lang w:val="ru-RU" w:bidi="ar-SA"/>
        </w:rPr>
        <w:t xml:space="preserve">- часть 2 статьи 19.4.1 – в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highlight w:val="none"/>
          <w:lang w:val="ru-RU" w:bidi="ar-SA"/>
        </w:rPr>
        <w:t xml:space="preserve">оспрепятствование законной деятельности должностного лица органа государственного контроля (надзора)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highlight w:val="none"/>
          <w:lang w:val="ru-RU" w:bidi="ar-SA"/>
        </w:rPr>
        <w:t xml:space="preserve">по проведению проверок или уклонение от таких проверок,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highlight w:val="none"/>
          <w:lang w:val="ru-RU" w:bidi="ar-SA"/>
        </w:rPr>
        <w:t xml:space="preserve">повлекшее невозможность проведения или завершения проверки;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часть 6 статьи 19.5 КоАП РФ –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bidi="ar-SA"/>
        </w:rPr>
        <w:t xml:space="preserve">- статья 19.7 КоАП РФ – непредставление сведений (информации).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11"/>
        <w:contextualSpacing/>
        <w:ind w:left="0" w:right="0" w:firstLine="709"/>
        <w:jc w:val="both"/>
        <w:spacing w:before="0"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val="ru-RU" w:eastAsia="zh-CN" w:bidi="ar-SA"/>
        </w:rPr>
        <w:t xml:space="preserve">четвертой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группе административных правонарушений относится: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часть 1 статьи 20.25 КоАП РФ – неуплата административного штрафа                     в срок, предусмотренный КоАП РФ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количестве вынесенных инспекцией, а также судами Новосибирской области постановлений/решений на основании поступивших материалов дел об административных правонарушениях в сфере строительства, представлены в таблице № 3.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 3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9924" w:type="dxa"/>
        <w:tblInd w:w="1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1"/>
        <w:gridCol w:w="1276"/>
        <w:gridCol w:w="1417"/>
        <w:gridCol w:w="1134"/>
        <w:gridCol w:w="15"/>
        <w:gridCol w:w="1261"/>
        <w:gridCol w:w="1134"/>
        <w:gridCol w:w="1276"/>
      </w:tblGrid>
      <w:tr>
        <w:tblPrEx/>
        <w:trPr>
          <w:trHeight w:val="187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Количество постановлений/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решений, вынесенных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по состоянию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на 01.07.2024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gridSpan w:val="3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Количество постановлений/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решений, вынесенных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по состоянию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на 01.07.2023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Количество постановлений/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решений,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вынесенных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по состоянию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на 01.07.2022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</w:tr>
      <w:tr>
        <w:tblPrEx/>
        <w:trPr>
          <w:trHeight w:val="633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инспекцией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судами Новосибирской области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инспекцией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судами Новосибирской области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инспекцией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судами Новосибирской области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1 статьи 9.4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262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231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236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2 статьи 9.4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34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63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vMerge w:val="restart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часть 3 статьи 9.4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5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2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gridSpan w:val="2"/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1 статьи 9.5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8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7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2 статьи 9.5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3 статьи 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4 статьи 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5 статьи 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1 статьи 9.5.1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9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статья 17.7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2 статьи 19.4.1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6 статьи 19.5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28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статья 19.7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17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1 статьи 20.25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19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</w:tbl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правонарушений за 1 полугодие 2024, 2023, 2022 годов показывает, что основными нарушениями обязательных требований являются нарушение требований проектной документации и ненадлежащее осуществление строительного контроля.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13"/>
        <w:jc w:val="center"/>
        <w:spacing w:before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1.3. Описание текущего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уровня развития программы профилактической деятельности инспекции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tabs>
          <w:tab w:val="left" w:pos="3879" w:leader="none"/>
        </w:tabs>
        <w:rPr>
          <w:sz w:val="6"/>
          <w:szCs w:val="6"/>
        </w:rPr>
      </w:pPr>
      <w:r>
        <w:rPr>
          <w:sz w:val="6"/>
          <w:szCs w:val="6"/>
        </w:rPr>
      </w:r>
      <w:r>
        <w:rPr>
          <w:sz w:val="6"/>
          <w:szCs w:val="6"/>
        </w:rPr>
      </w:r>
      <w:r>
        <w:rPr>
          <w:sz w:val="6"/>
          <w:szCs w:val="6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1 статьи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закона № 248-ФЗ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осуществлении государственного контрол</w:t>
      </w:r>
      <w:r>
        <w:rPr>
          <w:rFonts w:ascii="Times New Roman" w:hAnsi="Times New Roman" w:cs="Times New Roman"/>
          <w:sz w:val="28"/>
          <w:szCs w:val="28"/>
        </w:rPr>
        <w:t xml:space="preserve">я (надзора) проведение профилактических мероприятий, направленных на снижение риска причинения вреда (ущерба), является приоритетным по отношению к проведению контрольных (надзорных)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профилактики на 2024 год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утверждена приказом инспекции от 19.12.2023 № </w:t>
      </w:r>
      <w:r>
        <w:rPr>
          <w:rFonts w:ascii="Times New Roman" w:hAnsi="Times New Roman" w:cs="Times New Roman"/>
          <w:sz w:val="28"/>
          <w:szCs w:val="28"/>
        </w:rPr>
        <w:t xml:space="preserve">48 и размещена на официальном сайте инспекции в сети «Интернет» в подразделе «Профилактика рисков причинения вреда» раздела «Контрольно-надзорная деятельность» по адресу: </w:t>
      </w:r>
      <w:hyperlink r:id="rId19" w:tooltip="http://gsn.nso.ru/page/328" w:history="1">
        <w:r>
          <w:rPr>
            <w:rStyle w:val="886"/>
            <w:rFonts w:ascii="Times New Roman" w:hAnsi="Times New Roman" w:cs="Times New Roman"/>
            <w:sz w:val="28"/>
            <w:szCs w:val="28"/>
          </w:rPr>
          <w:t xml:space="preserve">http://gsn.nso.ru/page/328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первом полугодии 2024 года цели программы профилактики достигались путем: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  <w:t xml:space="preserve">1) обеспечения актуальности размещенного на официальном сайте инспекции в сети «Интернет» в подразделе «Перечень нормативных правовых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актов (их отдельных положений),</w:t>
      </w:r>
      <w:r>
        <w:rPr>
          <w:rFonts w:ascii="Times New Roman" w:hAnsi="Times New Roman" w:cs="Times New Roman"/>
          <w:bCs/>
          <w:sz w:val="28"/>
          <w:szCs w:val="28"/>
        </w:rPr>
        <w:t xml:space="preserve"> содержащих обязательные требования, оценка соблюдения которых является предметом регионального государственного контроля (надзора), а также тексты соответствующих нормативных правовых актов» раздела «Контрольно-надзорная деятельность» п</w:t>
      </w:r>
      <w:r>
        <w:rPr>
          <w:rFonts w:ascii="Times New Roman" w:hAnsi="Times New Roman" w:cs="Times New Roman"/>
          <w:sz w:val="28"/>
          <w:szCs w:val="28"/>
        </w:rPr>
        <w:t xml:space="preserve">еречня нормативных правовых актов или их отдельных частей, содержащих обязательные требования, оценка соблюдения которых является предметом регионального государственного строительного</w:t>
      </w:r>
      <w:r>
        <w:rPr>
          <w:rFonts w:ascii="Times New Roman" w:hAnsi="Times New Roman" w:cs="Times New Roman"/>
          <w:sz w:val="28"/>
          <w:szCs w:val="28"/>
        </w:rPr>
        <w:t xml:space="preserve"> надзора (далее – Перечень нормативных правовых актов). Актуализация перечня нормативных правовых актов осуществлялась посредством своевременного внесения в него изменений и дополнений в связи с вновь в</w:t>
      </w:r>
      <w:r>
        <w:rPr>
          <w:rFonts w:ascii="Times New Roman" w:hAnsi="Times New Roman" w:cs="Times New Roman"/>
          <w:sz w:val="28"/>
          <w:szCs w:val="28"/>
        </w:rPr>
        <w:t xml:space="preserve">ыявленными обязательными требованиями или изменениями в нормативно-правовом регулировании. По результатам постоянного мониторинга выявленных и вновь принимаемых актов, устанавливающих обязательные требования в сфере регионального государственного строитель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ного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 w:themeFill="background1"/>
        </w:rPr>
        <w:t xml:space="preserve"> надзора, 22.03.2022 внесены 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 w:themeFill="background1"/>
        </w:rPr>
        <w:t xml:space="preserve">изменения в Перечень нормативных правовых актов приказом инспекции № 16 (размещен </w:t>
      </w:r>
      <w:r>
        <w:rPr>
          <w:rFonts w:ascii="Times New Roman" w:hAnsi="Times New Roman" w:cs="Times New Roman"/>
          <w:bCs/>
          <w:sz w:val="28"/>
          <w:szCs w:val="28"/>
          <w:highlight w:val="white"/>
          <w:shd w:val="clear" w:color="auto" w:fill="ffffff" w:themeFill="background1"/>
        </w:rPr>
        <w:t xml:space="preserve">на официальном сайте инспе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кции в сети «Интернет» по адресу: </w:t>
      </w:r>
      <w:hyperlink r:id="rId20" w:tooltip="https://gsn.nso.ru/page/550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https://gsn.nso.ru/page/550</w:t>
        </w:r>
      </w:hyperlink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eeece1" w:themeFill="background2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официальном сайте инспекции в сети «Интернет» по адресу: </w:t>
      </w:r>
      <w:hyperlink r:id="rId21" w:tooltip="https://gsn.nso.ru/page/550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https://gsn.nso.ru/page/550</w:t>
        </w:r>
      </w:hyperlink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,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действует подписка пользователей официального сайта на получение автоматических уведомлений о внесении изменений в Перечень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правовых актов, перечень обязательных требований, а также подписки на иные информационные рассылки органа государственного контроля (надзора) по вопросам применения и толкования им правовых актов, их отдельных частей, обязательных требований, включенных 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 xml:space="preserve">еречень нормативных правовых актов;</w:t>
      </w: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eeece1" w:themeFill="background2"/>
        </w:rPr>
      </w: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eeece1" w:themeFill="background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2) обеспечения информационной открытости контрольно-надзорной деятельности путем размещения на официальном сайте инспекции в сети «Интернет»: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- реестра </w:t>
      </w:r>
      <w:r>
        <w:rPr>
          <w:rFonts w:ascii="Times New Roman" w:hAnsi="Times New Roman" w:cs="Times New Roman"/>
          <w:sz w:val="28"/>
          <w:szCs w:val="28"/>
        </w:rPr>
        <w:t xml:space="preserve">объектов капитального строительства, в отношении строительства, реконструкции которых осуществляется региональный государственный строительный надзор по адресу: </w:t>
      </w:r>
      <w:hyperlink r:id="rId22" w:tooltip="https://gsn.nso.ru/page/549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https://gsn.nso.ru/page/549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;</w:t>
      </w:r>
      <w:r>
        <w:rPr>
          <w:rFonts w:ascii="Times New Roman" w:hAnsi="Times New Roman" w:cs="Times New Roman"/>
          <w:bCs/>
          <w:sz w:val="28"/>
          <w:szCs w:val="28"/>
          <w:u w:val="single"/>
        </w:rPr>
      </w:r>
      <w:r>
        <w:rPr>
          <w:rFonts w:ascii="Times New Roman" w:hAnsi="Times New Roman" w:cs="Times New Roman"/>
          <w:bCs/>
          <w:sz w:val="28"/>
          <w:szCs w:val="28"/>
          <w:u w:val="single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в новостной ленте на официальном сайте инспекции сведений о содержании новых нормативных правовых актов, устанавливающих обязательные требования, по адресу: </w:t>
      </w:r>
      <w:hyperlink r:id="rId23" w:tooltip="https://gsn.nso.ru/news" w:history="1">
        <w:r>
          <w:rPr>
            <w:rStyle w:val="886"/>
            <w:rFonts w:ascii="Times New Roman" w:hAnsi="Times New Roman" w:cs="Times New Roman"/>
            <w:sz w:val="28"/>
            <w:szCs w:val="28"/>
            <w:shd w:val="clear" w:color="auto" w:fill="ffffff" w:themeFill="background1"/>
          </w:rPr>
          <w:t xml:space="preserve">https://gsn.nso.ru/news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bCs/>
          <w:sz w:val="24"/>
          <w:szCs w:val="24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анализа текущего состояния поднадзорной среды, обобщения и анализа правоприменительной практики (ежеквартально), по адресу: </w:t>
      </w:r>
      <w:hyperlink r:id="rId24" w:tooltip="https://gsn.nso.ru/page/338" w:history="1">
        <w:r>
          <w:rPr>
            <w:rStyle w:val="886"/>
            <w:rFonts w:ascii="Times New Roman" w:hAnsi="Times New Roman" w:eastAsia="Times New Roman"/>
            <w:sz w:val="28"/>
            <w:szCs w:val="28"/>
            <w:shd w:val="clear" w:color="auto" w:fill="ffffff" w:themeFill="background1"/>
            <w:lang w:eastAsia="ru-RU"/>
          </w:rPr>
          <w:t xml:space="preserve">https://gsn.nso.ru/page/338</w:t>
        </w:r>
      </w:hyperlink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3) обеспечения информирования контролируемых лиц по вопросам соблюдения обязательных требований, в том числе посредством разработки и опубликования р</w:t>
      </w:r>
      <w:r>
        <w:rPr>
          <w:rFonts w:ascii="Times New Roman" w:hAnsi="Times New Roman" w:cs="Times New Roman"/>
          <w:bCs/>
          <w:sz w:val="28"/>
          <w:szCs w:val="28"/>
        </w:rPr>
        <w:t xml:space="preserve">уководства по соблюдению обязательных требований в сфере строительства, проверяемых инспекцией государственного строительного надзора Новосибирской области при осуществлении регионального государственного строительного надзора, по адресу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: </w:t>
      </w:r>
      <w:hyperlink r:id="rId25" w:tooltip="http://gsn.nso.ru/page/329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http://gsn.nso.ru/page/329</w:t>
        </w:r>
      </w:hyperlink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;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</w:t>
      </w:r>
      <w: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объявления 225 предостережений о недопустимости нарушений обязательных требований;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5) оказания </w:t>
      </w:r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1012 консультаций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 вопросам, связанным с организацией                 и осуществлением регионального государственного строительного надзора;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6) проведения 140 профилактических визитов;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 xml:space="preserve">7) внесения должностными лицами инспекции, информации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в единый реестр контрольных (надзорных) мероприятий в соответствии с правилами формирования и ведения единого реестра контрольных (надзорных) мероприятий, утвержденными постановлением Правительства Российской Федерации от 16 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 w:themeFill="background1"/>
        </w:rPr>
        <w:t xml:space="preserve">апреля 2021 г. № 604;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8) 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проведения </w:t>
      </w:r>
      <w:r>
        <w:rPr>
          <w:rFonts w:ascii="Times New Roman" w:hAnsi="Times New Roman" w:cs="Times New Roman"/>
          <w:bCs/>
          <w:sz w:val="28"/>
          <w:szCs w:val="28"/>
          <w:highlight w:val="white"/>
          <w:shd w:val="clear" w:color="auto" w:fill="ffffff" w:themeFill="background1"/>
        </w:rPr>
        <w:t xml:space="preserve">публичного мероприятия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 в форме </w:t>
      </w:r>
      <w:r>
        <w:rPr>
          <w:rFonts w:ascii="Times New Roman" w:hAnsi="Times New Roman" w:cs="Times New Roman"/>
          <w:bCs/>
          <w:color w:val="ff0000"/>
          <w:sz w:val="28"/>
          <w:szCs w:val="28"/>
          <w:highlight w:val="white"/>
        </w:rPr>
        <w:t xml:space="preserve">«</w:t>
      </w:r>
      <w:r>
        <w:rPr>
          <w:rFonts w:ascii="Times New Roman" w:hAnsi="Times New Roman" w:cs="Times New Roman"/>
          <w:bCs/>
          <w:color w:val="ff0000"/>
          <w:sz w:val="28"/>
          <w:szCs w:val="28"/>
          <w:highlight w:val="white"/>
        </w:rPr>
        <w:t xml:space="preserve">д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ня открытых дверей</w:t>
      </w:r>
      <w:r>
        <w:rPr>
          <w:rFonts w:ascii="Times New Roman" w:hAnsi="Times New Roman" w:cs="Times New Roman"/>
          <w:bCs/>
          <w:color w:val="ff0000"/>
          <w:sz w:val="28"/>
          <w:szCs w:val="28"/>
          <w:highlight w:val="white"/>
        </w:rPr>
        <w:t xml:space="preserve">»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 для представителей строительной отрасли. 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 w:themeFill="background1"/>
        </w:rPr>
        <w:t xml:space="preserve">Ключевой темой стали вопросы системной трансформации строительной отрасли, в том числе за счёт внедрения цифровых инструментов, а также актуальные изменения законодательства в строительной сфере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(информация о результатах проведения размещена по адресу: </w:t>
      </w:r>
      <w:hyperlink r:id="rId26" w:tooltip="https://gsn.nso.ru/page/994" w:history="1">
        <w:r>
          <w:rPr>
            <w:rStyle w:val="886"/>
            <w:rFonts w:ascii="Times New Roman" w:hAnsi="Times New Roman" w:cs="Times New Roman"/>
            <w:sz w:val="28"/>
            <w:szCs w:val="28"/>
            <w:highlight w:val="white"/>
          </w:rPr>
          <w:t xml:space="preserve">https://gsn.nso.ru/page/994</w:t>
        </w:r>
      </w:hyperlink>
      <w:r>
        <w:rPr>
          <w:rFonts w:ascii="Times New Roman" w:hAnsi="Times New Roman" w:cs="Times New Roman"/>
          <w:sz w:val="28"/>
          <w:szCs w:val="28"/>
          <w:highlight w:val="white"/>
        </w:rPr>
        <w:t xml:space="preserve">);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color w:val="000000" w:themeColor="text1"/>
          <w:sz w:val="28"/>
          <w:szCs w:val="28"/>
          <w:highlight w:val="white"/>
        </w:rPr>
      </w:pPr>
      <w:r>
        <w:rPr>
          <w:rStyle w:val="886"/>
          <w:rFonts w:ascii="Times New Roman" w:hAnsi="Times New Roman" w:cs="Times New Roman"/>
          <w:color w:val="000000" w:themeColor="text1"/>
          <w:sz w:val="28"/>
          <w:szCs w:val="28"/>
          <w:highlight w:val="white"/>
          <w:u w:val="none"/>
        </w:rPr>
        <w:t xml:space="preserve">9) </w:t>
      </w:r>
      <w:r>
        <w:rPr>
          <w:rFonts w:ascii="Times New Roman" w:hAnsi="Times New Roman" w:eastAsia="Times New Roman" w:cs="Times New Roman"/>
          <w:color w:val="000000"/>
          <w:sz w:val="28"/>
          <w:highlight w:val="white"/>
        </w:rPr>
        <w:t xml:space="preserve">проведения внепланового публичного мероприятия в форме семинара-совещания в режиме ВКС с представителями администраций муниципальных районов Новосибирской области, в </w:t>
      </w:r>
      <w:r>
        <w:rPr>
          <w:rFonts w:ascii="Times New Roman" w:hAnsi="Times New Roman" w:eastAsia="Times New Roman" w:cs="Times New Roman"/>
          <w:color w:val="000000"/>
          <w:sz w:val="28"/>
          <w:highlight w:val="white"/>
        </w:rPr>
        <w:t xml:space="preserve">ходе</w:t>
      </w:r>
      <w:r>
        <w:rPr>
          <w:rFonts w:ascii="Times New Roman" w:hAnsi="Times New Roman" w:eastAsia="Times New Roman" w:cs="Times New Roman"/>
          <w:color w:val="000000"/>
          <w:sz w:val="28"/>
          <w:highlight w:val="white"/>
        </w:rPr>
        <w:t xml:space="preserve"> которого рассмотрены практические вопросы осуществления регионального государственного строительного надзора, в том числе работа с индикаторами рисков, подача извещений о начале строительства через ЕПГУ, работа с системой досудебного обжалования и др.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Инспекция обеспечивает достоверность и актуальность всей инфо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рмации, связанной с профилактикой нарушений обязательных требований.</w:t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Контролируемые лица имеют возможность использовать информационные технологии. Например, посредством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размещения электронной формы для обратной связи по вопросам, связанным с содержанием, ведением и применением перечня обязательных требований.</w:t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официальном сайте инспекции в сети «Интернет» по адресу: </w:t>
      </w:r>
      <w:hyperlink r:id="rId27" w:tooltip="http://gsn.nso.ru/page/550" w:history="1">
        <w:r>
          <w:rPr>
            <w:rStyle w:val="886"/>
            <w:rFonts w:ascii="Times New Roman" w:hAnsi="Times New Roman" w:cs="Times New Roman"/>
            <w:color w:val="auto"/>
            <w:sz w:val="28"/>
            <w:szCs w:val="28"/>
            <w:shd w:val="clear" w:color="auto" w:fill="ffffff" w:themeFill="background1"/>
          </w:rPr>
          <w:t xml:space="preserve">http://gsn.nso.ru/page/550</w:t>
        </w:r>
      </w:hyperlink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, в том числе в подразделе «Обязательные требования, соблюдение которых оценивается в рамках проведения контрольно-надзорного мероприятия»,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действует подписка пользователей официального сайта инспекции в сети «Интернет» на рассылку электронных сообщений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 информацией связанной с профилактикой нарушений обязательных требований, а так же иной информации важной для контролируемых лиц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pStyle w:val="71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1.4. Характеристика проблем, на решение которых направлена программа профилактики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sz w:val="18"/>
          <w:szCs w:val="28"/>
        </w:rPr>
      </w:r>
      <w:r>
        <w:rPr>
          <w:rFonts w:ascii="Times New Roman" w:hAnsi="Times New Roman" w:cs="Times New Roman"/>
          <w:sz w:val="18"/>
          <w:szCs w:val="28"/>
        </w:rPr>
      </w:r>
      <w:r>
        <w:rPr>
          <w:rFonts w:ascii="Times New Roman" w:hAnsi="Times New Roman" w:cs="Times New Roman"/>
          <w:sz w:val="18"/>
          <w:szCs w:val="28"/>
        </w:rPr>
      </w:r>
    </w:p>
    <w:p>
      <w:pPr>
        <w:ind w:firstLine="708"/>
        <w:jc w:val="both"/>
        <w:spacing w:after="0" w:line="240" w:lineRule="auto"/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Ключевой проблемой являются потенциальные негативные последствия возможного несоблюдения контролируемыми лицами обязательных требований при строительстве, реконструкции объектов капитального строительства</w:t>
      </w:r>
      <w:r>
        <w:t xml:space="preserve">.</w:t>
      </w:r>
      <w:r/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Причиной возникновения ключевой проблемы являются: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недостаточно сформированное понимание обязательных требований в области градостроительной деятельности;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недостаточная правовая грамотность контролируемых лиц;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неудовлетворительная организация строительного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контроля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как застройщика (технического заказчика), так и лица, осуществляющего строительство;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нарушения в области строительного производства.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713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1.5. Обоснование целесообразности и возможности решения проблемы                    с помощью мероприятий программы профилактики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</w:p>
    <w:p>
      <w:pPr>
        <w:ind w:firstLine="53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Основная направленность профилактической работы должна быть связана с повышением информированности застройщиков, технических заказчиков и лиц, осуществляющ</w:t>
      </w:r>
      <w:r>
        <w:rPr>
          <w:rFonts w:ascii="Times New Roman" w:hAnsi="Times New Roman" w:cs="Times New Roman"/>
          <w:sz w:val="28"/>
          <w:szCs w:val="28"/>
        </w:rPr>
        <w:t xml:space="preserve">их строительство и реконструкцию объектов капитального строительства, в области градостроительной деятельности. В данной связи большое значение имеют профилактические меры по информированию контролируемых лиц по вопросам соблюдения обязательных требований.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Участие контролируемых лиц в мероприятиях программы профилактики будет способствовать более открытому взаимодействию с контролируемыми </w:t>
      </w:r>
      <w:r>
        <w:rPr>
          <w:rFonts w:ascii="Times New Roman" w:hAnsi="Times New Roman"/>
          <w:sz w:val="28"/>
          <w:szCs w:val="28"/>
        </w:rPr>
        <w:t xml:space="preserve">лицами в целях достижения</w:t>
      </w:r>
      <w:r>
        <w:rPr>
          <w:rFonts w:ascii="Times New Roman" w:hAnsi="Times New Roman"/>
          <w:sz w:val="28"/>
          <w:szCs w:val="28"/>
        </w:rPr>
        <w:t xml:space="preserve"> общего для всех сторон результата – снижение рисков причинения вреда охраняемым законом ценностям и отвечает потребностям предпринимательской среды в получении качественной и доступной информации по возникающим вопросам соблюдения обязательных требований.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можно выделить следующие варианты решения проблемы: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формирование понимания обязательных требований в сфере строительства у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адаптация форм информирования контролируемых лиц по вопросам соблюдения обязательных требований в сфере строительства для эффективного восприятия контролируемыми лицами;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уровня информированности контролируемых лиц по вопросам соблюдения обязательных требований в сфере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обеспечение доступности сведений о применении обязательных требований в сфере строительства, основных ошибках при их применении и способах их предотвращения;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функционирование системы обратной связи с контролируемыми лицами по вопросам применения обязательных требований, в том числе с использованием современных информационно-телекоммуникационных технологий;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осуществление превентивного разъяснения контролируемым лицам обязательных требований в сфере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обеспечение устойчивого взаимодействия, основанного на диалоге, с контролируемыми лицами и повышение уровня доверия контролируемых лиц к инспекции.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решения</w:t>
      </w:r>
      <w:r>
        <w:rPr>
          <w:rFonts w:ascii="Times New Roman" w:hAnsi="Times New Roman" w:cs="Times New Roman"/>
          <w:sz w:val="28"/>
          <w:szCs w:val="28"/>
        </w:rPr>
        <w:t xml:space="preserve"> проблемы, на выполнение которой направлена программа профилактики, инспекцией определен перечень профилактических мероприятий. Реализация указанных мероприятий обеспечивает решение поставленных задач и достижение поставленных целей программы профилактики.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Программные мероприятия определены в соответствии с положениями статей 45-47, 49, 50, 52 Федерального закона № 248-ФЗ и включают в себя мероприятия по следующим направлениям: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информирование контролируемых лиц и иных заинтересованных лиц по вопросам соблюдения обязательных тре</w:t>
      </w:r>
      <w:r>
        <w:rPr>
          <w:rFonts w:ascii="Times New Roman" w:hAnsi="Times New Roman" w:cs="Times New Roman"/>
          <w:sz w:val="28"/>
          <w:szCs w:val="28"/>
        </w:rPr>
        <w:t xml:space="preserve">бований, посредством размещения соответствующих сведений на официальном сайте инспекции в сети «Интернет», в средствах массовой информации, через личные кабинеты контролируемых лиц в государственных информационных системах (при их наличии) и в иных формах;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обобщение правоприменительной практики с подготовкой доклада, содержащего соответствующие обобщения;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 объявление предостережения о недопустимости нарушения обязательных требований;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 осуществление консультирования по обращениям контролируемых лиц и их представителей;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 проведение инспектором профилактического визита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осуществлении  регионального государственного строительного надзора проведение профилактических мероприятий, направленных на снижение риска причинения вреда (ущерба), является приоритетным по отношению к проведению контрольных (надзорных)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Основной проблемой, которая должна быть решена при реализации программы профилактики, является низкий уровень правовой грамотности контролируемых лиц, который может привести к причинению вреда охраняемым законом ценностям.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профилактических мероприятий в виде информирования, консультаций, выдачи предостережений,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проведения инспектором профилактического визита, предполагает </w:t>
      </w:r>
      <w:r>
        <w:rPr>
          <w:rFonts w:ascii="Times New Roman" w:hAnsi="Times New Roman" w:cs="Times New Roman"/>
          <w:sz w:val="28"/>
          <w:szCs w:val="28"/>
        </w:rPr>
        <w:t xml:space="preserve">отсутствие мер административного воздействия, является мерой, способствующей снижению административных и финансовых издержек контролируемых лиц.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Ожидаемые конечные результаты реализации программы профилактики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снижение рисков причинения вреда охраняемым законом ценностям;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увеличение доли законопослушных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развитие системы профилактических мероприятий инспекции;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прозрачности деятельности инспекции;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уменьшение административной нагрузки на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уровня правовой грамотности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уровня информированности контролируемых лиц об обязательных требованиях в сфере строительства.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1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1.6. Описание текущих и ожидаемых тенденций, которые могут оказать воздействие на состояние подконтрольной сферы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Текущими тенденциями, которые могут оказать воздействие на состояние подконтрольной сферы, является: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санкционное</w:t>
      </w:r>
      <w:r>
        <w:rPr>
          <w:rFonts w:ascii="Times New Roman" w:hAnsi="Times New Roman" w:cs="Times New Roman"/>
          <w:sz w:val="28"/>
          <w:szCs w:val="28"/>
        </w:rPr>
        <w:t xml:space="preserve"> давление в отношении Российской Федерации;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4"/>
        <w:contextualSpacing w:val="0"/>
        <w:ind w:left="0"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ограничительные меры, которые приводят к снижению деловой активности, а также к затруднениям трансграничных поставок;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нестабильность поставок приводит к росту цен на строительные материалы и комплектующие;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4"/>
        <w:contextualSpacing w:val="0"/>
        <w:ind w:left="0"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вынужденные изменени</w:t>
      </w:r>
      <w:r>
        <w:rPr>
          <w:rFonts w:ascii="Times New Roman" w:hAnsi="Times New Roman" w:cs="Times New Roman"/>
          <w:sz w:val="28"/>
          <w:szCs w:val="28"/>
        </w:rPr>
        <w:t xml:space="preserve">я условий, на которых были заключены государственные строительные контракты, договоры строительного подряда, в том числе изменение проектных решений, в связи с ростом стоимости строительства и вынужденными переносами сроков производства строительных работ;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приостановка строительства, реконструкции объектов более чем на 6 месяцев, консервация объектов капитального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 учетом существующей социально-экономической ситуации в строительной отрасли, очевидно, что указанные тенденции </w:t>
      </w:r>
      <w:r>
        <w:rPr>
          <w:rFonts w:ascii="Times New Roman" w:hAnsi="Times New Roman" w:cs="Times New Roman"/>
          <w:sz w:val="28"/>
          <w:szCs w:val="28"/>
        </w:rPr>
        <w:t xml:space="preserve">сохранятся</w:t>
      </w:r>
      <w:r>
        <w:rPr>
          <w:rFonts w:ascii="Times New Roman" w:hAnsi="Times New Roman" w:cs="Times New Roman"/>
          <w:sz w:val="28"/>
          <w:szCs w:val="28"/>
        </w:rPr>
        <w:t xml:space="preserve"> и будут оказывать влияние на осуществление надзорной деятельности и профилактическую работу инспекции в будущем.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13"/>
        <w:jc w:val="center"/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  <w:t xml:space="preserve">1.7. Оценка внешних условий и рисков при реализации программы профилактики</w:t>
      </w:r>
      <w:r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</w:r>
      <w:r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</w:p>
    <w:tbl>
      <w:tblPr>
        <w:tblStyle w:val="885"/>
        <w:tblW w:w="0" w:type="auto"/>
        <w:tblInd w:w="108" w:type="dxa"/>
        <w:tblLook w:val="04A0" w:firstRow="1" w:lastRow="0" w:firstColumn="1" w:lastColumn="0" w:noHBand="0" w:noVBand="1"/>
      </w:tblPr>
      <w:tblGrid>
        <w:gridCol w:w="993"/>
        <w:gridCol w:w="4394"/>
        <w:gridCol w:w="4536"/>
      </w:tblGrid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№ 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/п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Наименование риска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Мероприятия по предупреждению риска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1.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Существенное изменение законодательства Российской Федерации в области градостроительной деятельности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Мониторинг нормативных правовых актов (изменение, утрата юридической силы, принятие новых нормативных правовых актов)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Недостаточность квалифицированных трудовых кадров, превышение нагрузки на инспекторский состав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Проведение анализа 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нагрузки на инспекторский состав, распределение функциональных особенностей, проведение обучающих семинаров с разъяснением направлений профилактической работы и рассмотрением предложений по оптимизации и повышению эффективности профилактических мероприятий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3.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Низкий уровень конструктивного диалогового взаимодействия контролируемых лиц и инспекции, в связи с отказом контролируемых лиц участвовать в профилактических мероприятиях, проводимых инспекцией.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Информирование контролируемых лиц о возможности и способах использования информационных технологий.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pacing w:val="-10"/>
                <w:sz w:val="28"/>
                <w:szCs w:val="28"/>
              </w:rPr>
              <w:t xml:space="preserve">Выявление мнения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контролируемых лиц по проблемам соблюдения обязательных требований, по качеству и полезности профилактической деятельности инспекции, учет подобных мнений при планировании профилактической работы в целом и организации отдельных профилактических мероприятий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</w:tbl>
    <w:p>
      <w:pPr>
        <w:rPr>
          <w:sz w:val="4"/>
        </w:rPr>
      </w:pPr>
      <w:r>
        <w:rPr>
          <w:sz w:val="4"/>
        </w:rPr>
      </w:r>
      <w:r>
        <w:rPr>
          <w:sz w:val="4"/>
        </w:rPr>
      </w:r>
      <w:r>
        <w:rPr>
          <w:sz w:val="4"/>
        </w:rPr>
      </w:r>
    </w:p>
    <w:p>
      <w:pPr>
        <w:pStyle w:val="883"/>
        <w:ind w:firstLine="708"/>
        <w:jc w:val="both"/>
        <w:rPr>
          <w:color w:val="auto"/>
          <w:sz w:val="20"/>
          <w:szCs w:val="28"/>
        </w:rPr>
      </w:pPr>
      <w:r>
        <w:rPr>
          <w:color w:val="auto"/>
          <w:sz w:val="20"/>
          <w:szCs w:val="28"/>
        </w:rPr>
      </w:r>
      <w:r>
        <w:rPr>
          <w:color w:val="auto"/>
          <w:sz w:val="20"/>
          <w:szCs w:val="28"/>
        </w:rPr>
      </w:r>
      <w:r>
        <w:rPr>
          <w:color w:val="auto"/>
          <w:sz w:val="20"/>
          <w:szCs w:val="28"/>
        </w:rPr>
      </w:r>
    </w:p>
    <w:p>
      <w:pPr>
        <w:pStyle w:val="712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Раздел 2. Перечень профилактических мероприятий, сроки (периодичность) их проведения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0"/>
          <w:szCs w:val="28"/>
        </w:rPr>
      </w:r>
      <w:r>
        <w:rPr>
          <w:rFonts w:ascii="Times New Roman" w:hAnsi="Times New Roman" w:cs="Times New Roman"/>
          <w:sz w:val="20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которые надлежит </w:t>
      </w:r>
      <w:r>
        <w:rPr>
          <w:rFonts w:ascii="Times New Roman" w:hAnsi="Times New Roman" w:cs="Times New Roman"/>
          <w:sz w:val="28"/>
          <w:szCs w:val="28"/>
        </w:rPr>
        <w:t xml:space="preserve">реализовать для решения задач и целей программы профилактики, приведен</w:t>
      </w:r>
      <w:r>
        <w:rPr>
          <w:rFonts w:ascii="Times New Roman" w:hAnsi="Times New Roman" w:cs="Times New Roman"/>
          <w:sz w:val="28"/>
          <w:szCs w:val="28"/>
        </w:rPr>
        <w:t xml:space="preserve"> в Плане-графике профилактических мероприятий на 2025 год (Приложение 1).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</w:p>
    <w:p>
      <w:pPr>
        <w:pStyle w:val="712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Раздел 3. Показатели результативности и эффективности программы профилактики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spacing w:after="0" w:line="240" w:lineRule="auto"/>
        <w:rPr>
          <w:sz w:val="16"/>
        </w:rPr>
      </w:pPr>
      <w:r>
        <w:rPr>
          <w:sz w:val="16"/>
        </w:rPr>
      </w:r>
      <w:r>
        <w:rPr>
          <w:sz w:val="16"/>
        </w:rPr>
      </w:r>
      <w:r>
        <w:rPr>
          <w:sz w:val="16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Ожидаемый социальный эффект профилактики может быть достигнут только в условиях конструктивного сотрудничества с контролируемыми лицами в п</w:t>
      </w:r>
      <w:r>
        <w:rPr>
          <w:rFonts w:ascii="Times New Roman" w:hAnsi="Times New Roman" w:cs="Times New Roman"/>
          <w:sz w:val="28"/>
          <w:szCs w:val="28"/>
        </w:rPr>
        <w:t xml:space="preserve">остоянном режиме по вопросам соблюдения обязательных требований законодательства. Экономический эффект от реализованных мероприятий: минимизация ресурсных затрат всех участников контрольно-надзорной деятельности за счет снижения административного давления.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Программы осуществляется в рамках текущего финансирования деятельности инспекции, оценка эффективности расходования бюджетных сре</w:t>
      </w:r>
      <w:r>
        <w:rPr>
          <w:rFonts w:ascii="Times New Roman" w:hAnsi="Times New Roman" w:cs="Times New Roman"/>
          <w:sz w:val="28"/>
          <w:szCs w:val="28"/>
        </w:rPr>
        <w:t xml:space="preserve">дств пр</w:t>
      </w:r>
      <w:r>
        <w:rPr>
          <w:rFonts w:ascii="Times New Roman" w:hAnsi="Times New Roman" w:cs="Times New Roman"/>
          <w:sz w:val="28"/>
          <w:szCs w:val="28"/>
        </w:rPr>
        <w:t xml:space="preserve">и реализации программы не проводится.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Оценка эффективности реализации Программы определяется по количественным и качественным показателям. Оценка эффективности и результативности Программы осуществляется ежегодно. Результат такой оценки включается в доклад об итогах реализации программы.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Количественные показатели эффективности реализации Программы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/>
      <w:r/>
    </w:p>
    <w:tbl>
      <w:tblPr>
        <w:tblStyle w:val="924"/>
        <w:tblW w:w="946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17"/>
        <w:gridCol w:w="7229"/>
        <w:gridCol w:w="1417"/>
      </w:tblGrid>
      <w:tr>
        <w:tblPrEx/>
        <w:trPr/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показателя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Плановое значение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>
          <w:trHeight w:val="112"/>
        </w:trPr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сроков выполнения мероприятий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100%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</w:tc>
      </w:tr>
      <w:tr>
        <w:tblPrEx/>
        <w:trPr/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публичных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2 шт.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</w:tc>
      </w:tr>
      <w:tr>
        <w:tblPrEx/>
        <w:trPr/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консультирований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1000 шт.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</w:tc>
      </w:tr>
    </w:tbl>
    <w:p>
      <w:pPr>
        <w:ind w:firstLine="709"/>
        <w:jc w:val="both"/>
        <w:spacing w:after="0" w:line="240" w:lineRule="auto"/>
      </w:pPr>
      <w:r/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Качест</w:t>
      </w:r>
      <w:r>
        <w:rPr>
          <w:rFonts w:ascii="Times New Roman" w:hAnsi="Times New Roman" w:cs="Times New Roman"/>
          <w:sz w:val="28"/>
          <w:szCs w:val="28"/>
        </w:rPr>
        <w:t xml:space="preserve">венными показателями эффективности реализации Программы является удовлетворенность контролируемыми лицами качеством программных мероприятий. Оценка достижения таких показателей может осуществляться посредством проведения опросов по следующим направлениям: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знание контролируемыми лицами обязательных требований и правил их соблюдения;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достаточность количества проведенных профилактических мероприятий;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достаточный уровень качества проведенных профилактических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  <w:sectPr>
          <w:headerReference w:type="default" r:id="rId9"/>
          <w:footnotePr/>
          <w:endnotePr/>
          <w:type w:val="nextPage"/>
          <w:pgSz w:w="11906" w:h="16838" w:orient="portrait"/>
          <w:pgMar w:top="1134" w:right="566" w:bottom="851" w:left="1418" w:header="708" w:footer="708" w:gutter="0"/>
          <w:cols w:num="1" w:sep="0" w:space="708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12"/>
        <w:ind w:left="11340"/>
        <w:jc w:val="center"/>
        <w:spacing w:before="0" w:line="240" w:lineRule="auto"/>
        <w:rPr>
          <w:rFonts w:ascii="Times New Roman" w:hAnsi="Times New Roman" w:cs="Times New Roman"/>
          <w:b w:val="0"/>
          <w:color w:val="000000"/>
        </w:rPr>
      </w:pPr>
      <w:r>
        <w:rPr>
          <w:rFonts w:ascii="Times New Roman" w:hAnsi="Times New Roman" w:cs="Times New Roman"/>
          <w:b w:val="0"/>
          <w:color w:val="000000"/>
        </w:rPr>
        <w:t xml:space="preserve">ПРИЛОЖЕНИЕ № 1</w:t>
      </w:r>
      <w:r>
        <w:rPr>
          <w:rFonts w:ascii="Times New Roman" w:hAnsi="Times New Roman" w:cs="Times New Roman"/>
          <w:b w:val="0"/>
          <w:color w:val="000000"/>
        </w:rPr>
      </w:r>
      <w:r>
        <w:rPr>
          <w:rFonts w:ascii="Times New Roman" w:hAnsi="Times New Roman" w:cs="Times New Roman"/>
          <w:b w:val="0"/>
          <w:color w:val="000000"/>
        </w:rPr>
      </w:r>
    </w:p>
    <w:p>
      <w:pPr>
        <w:ind w:left="113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программе профилактики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12"/>
        <w:jc w:val="center"/>
        <w:spacing w:before="0" w:line="240" w:lineRule="auto"/>
        <w:rPr>
          <w:rFonts w:ascii="Times New Roman" w:hAnsi="Times New Roman" w:cs="Times New Roman" w:eastAsiaTheme="minorHAnsi"/>
          <w:bCs w:val="0"/>
          <w:color w:val="000000"/>
        </w:rPr>
      </w:pPr>
      <w:r>
        <w:rPr>
          <w:rFonts w:ascii="Times New Roman" w:hAnsi="Times New Roman" w:cs="Times New Roman" w:eastAsiaTheme="minorHAnsi"/>
          <w:bCs w:val="0"/>
          <w:color w:val="000000"/>
        </w:rPr>
        <w:t xml:space="preserve">План-график мероприятий по профилактике рисков причинения вреда (ущерба) охраняемым законом ценностям при осуществлении регионального государственного строительного надзора на территории Новосибирской области</w:t>
      </w:r>
      <w:r>
        <w:rPr>
          <w:rFonts w:ascii="Times New Roman" w:hAnsi="Times New Roman" w:cs="Times New Roman" w:eastAsiaTheme="minorHAnsi"/>
          <w:bCs w:val="0"/>
          <w:color w:val="000000"/>
        </w:rPr>
      </w:r>
      <w:r>
        <w:rPr>
          <w:rFonts w:ascii="Times New Roman" w:hAnsi="Times New Roman" w:cs="Times New Roman" w:eastAsiaTheme="minorHAnsi"/>
          <w:bCs w:val="0"/>
          <w:color w:val="000000"/>
        </w:rPr>
      </w:r>
    </w:p>
    <w:p>
      <w:pPr>
        <w:pStyle w:val="712"/>
        <w:jc w:val="center"/>
        <w:spacing w:before="0" w:line="240" w:lineRule="auto"/>
        <w:rPr>
          <w:rFonts w:ascii="Times New Roman" w:hAnsi="Times New Roman" w:cs="Times New Roman" w:eastAsiaTheme="minorHAnsi"/>
          <w:bCs w:val="0"/>
          <w:color w:val="000000"/>
        </w:rPr>
      </w:pPr>
      <w:r>
        <w:rPr>
          <w:rFonts w:ascii="Times New Roman" w:hAnsi="Times New Roman" w:cs="Times New Roman" w:eastAsiaTheme="minorHAnsi"/>
          <w:bCs w:val="0"/>
          <w:color w:val="000000"/>
        </w:rPr>
        <w:t xml:space="preserve">на 2025</w:t>
      </w:r>
      <w:r>
        <w:rPr>
          <w:rFonts w:ascii="Times New Roman" w:hAnsi="Times New Roman" w:cs="Times New Roman" w:eastAsiaTheme="minorHAnsi"/>
          <w:bCs w:val="0"/>
          <w:color w:val="000000"/>
          <w:lang w:val="en-US"/>
        </w:rPr>
        <w:t xml:space="preserve"> </w:t>
      </w:r>
      <w:r>
        <w:rPr>
          <w:rFonts w:ascii="Times New Roman" w:hAnsi="Times New Roman" w:cs="Times New Roman" w:eastAsiaTheme="minorHAnsi"/>
          <w:bCs w:val="0"/>
          <w:color w:val="000000"/>
        </w:rPr>
        <w:t xml:space="preserve">год</w:t>
      </w:r>
      <w:r>
        <w:rPr>
          <w:rFonts w:ascii="Times New Roman" w:hAnsi="Times New Roman" w:cs="Times New Roman" w:eastAsiaTheme="minorHAnsi"/>
          <w:bCs w:val="0"/>
          <w:color w:val="000000"/>
        </w:rPr>
      </w:r>
      <w:r>
        <w:rPr>
          <w:rFonts w:ascii="Times New Roman" w:hAnsi="Times New Roman" w:cs="Times New Roman" w:eastAsiaTheme="minorHAnsi"/>
          <w:bCs w:val="0"/>
          <w:color w:val="000000"/>
        </w:rPr>
      </w:r>
    </w:p>
    <w:tbl>
      <w:tblPr>
        <w:tblW w:w="15593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3969"/>
        <w:gridCol w:w="2693"/>
        <w:gridCol w:w="1843"/>
        <w:gridCol w:w="141"/>
        <w:gridCol w:w="1985"/>
        <w:gridCol w:w="142"/>
        <w:gridCol w:w="141"/>
        <w:gridCol w:w="1843"/>
        <w:gridCol w:w="142"/>
        <w:gridCol w:w="1984"/>
      </w:tblGrid>
      <w:tr>
        <w:tblPrEx/>
        <w:trPr/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/п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Форма профилактических мероприятий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3"/>
            <w:shd w:val="clear" w:color="auto" w:fill="auto"/>
            <w:tcW w:w="4677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Ответственный исполнитель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2127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Периодичность проведения, сроки исполнения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3"/>
            <w:tcW w:w="2126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Адресаты мероприятия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Ожидаемые результаты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>
          <w:trHeight w:val="770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10"/>
            <w:shd w:val="clear" w:color="auto" w:fill="auto"/>
            <w:tcW w:w="14883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контролируемых лиц и иных заинтересованных лиц по вопросам соблюдения обязательных требований посредством размещения и поддержания в актуальном состоянии на официальном сайте инспекции в сети «Интернет»: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2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текстов нормативных правовых актов, регулирующих осуществление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строительного надзора на территории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не позднее 30 декабря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предшествующего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в течение 5 рабочих дней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даты изменения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утраты юридической силы, принятия новых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Контролируемые лица, а также все иные заинтересованные лица, которым может быть полезна информация (далее – Пользователи)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сведений об изменениях, внесенных в нормативные правовые акты, регулирующие осуществление регионального государственного строительного надзора на территории Новосибирской области, о сроках и порядке их вступления в силу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соответствующих сведений на официальном сайте инспекции в сети «Интернет» – в течение 5 рабочих дней со дня принятия в установленном порядке соответствующих изменений или принятия новых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1.3.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перечня нормативных правовых актов с указ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анием структурных единиц этих актов, содержащих обязательные требования, оценка соблюдения которых является предметом контроля, а также информации о мерах ответственности, применяемых при нарушении обязательных требований, с текстами в действующей редакции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– в течение трех рабочих дней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даты утверждения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внесения изменений в Перечень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контролируемых лиц о 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r/>
            <w:r/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руководства по соблюдению обязательных требований, разработанного и утвержденного в соответствии с Федеральным </w:t>
            </w:r>
            <w:hyperlink r:id="rId28" w:tooltip="consultantplus://offline/ref=9ACAA89C6FF58C33776267CAD813686974829EFE2BEBB854C524F083A7349DB9E6BF8B5B80C72015E2BA0D6973903742AEDF24DC257EB02352s0I" w:history="1">
              <w:r>
                <w:rPr>
                  <w:rFonts w:ascii="Times New Roman" w:hAnsi="Times New Roman" w:cs="Times New Roman"/>
                  <w:sz w:val="24"/>
                  <w:szCs w:val="24"/>
                </w:rPr>
                <w:t xml:space="preserve">законом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«Об обязательных требованиях в Российской Федерации»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в течение 15 рабочих дней с даты: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вступления в силу нормативного правового акта, которым вносятся изменения в состав и (или) содержание обязательного требования;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принятия новых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контролируемых лиц о 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64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перечня индикаторов риска нарушения обязательных требований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внесении изменений в перечень индикаторов риска нарушения обязательных требований – в течение 5 рабочих дней с момента официального опубликования постановления Правительства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контролируемых лиц об основаниях проведения внеплановой проверки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1.6.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реестра объектов капитального строительства (далее – реестр), указанных в части 1 статьи 54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РФ, в отношении которых инспекция осуществляет региональный государственный строительный надзор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 пяти рабочих дней вносит изменения в реестр со дня получения информации, документа, являющихся основанием для внесения изменений в реестр, размещение актуализированного реестра на сайте инспекции - еженедельно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об объектах капитального строительства, находящихся, в отношении которых осуществляется региональный государственный строительный надзор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089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1.7.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профилактики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Утверждение – не позднее 19 декабря предшествующего года;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размещение на официальном сайте инспекции в сети «Интернет»  – в течение пяти дней со дня утверждения программы профилактики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рисков причинения вреда охраняемым законом ценностям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698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1.8.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исчерпывающего перечня сведений, которые могут запрашиваться инспекцией у контролируемого 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пяти рабочих дней с момента утверждения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перечне сведений, которые могут запрашиваться инспекцией у контролируемого 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1.9.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сведений о способах получения консультаций по вопросам соблюдения обязательных требований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– в течение 10 рабочих дней с момента внесения соответствующих изменений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способах получения консультаций по вопросам соблюдения обязательных требований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1.10.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сведений о порядке досудебного обжалования решений инспекции, действий (бездействия) ее должностных лиц (далее – порядок досудебного обжалования)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порядка в течение 15 рабочих дней с момента внесения соответствующих изменений</w:t>
            </w:r>
            <w:r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порядке досудебного обжалования решений инспекции, действий (бездействия) ее должностных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докладов об осуществлении инспекцией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строительного надзора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 утверждение – не позднее 15 марта года, следующего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отчетным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1.12.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аналитических сообщений о результатах анализа, оценки состояния подконтрольной среды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– ежеквартально не позднее 20 числа, месяца, следующего за отчетным кварталом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Повышение прозрачности системы государственного надзора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2.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Обобщение правоприменительной практик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и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контрольно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й (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надзорной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инспекции государственно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го строительного надзора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both"/>
              <w:spacing w:after="0" w:line="240" w:lineRule="auto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94"/>
              <w:jc w:val="both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94"/>
              <w:jc w:val="both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94"/>
              <w:jc w:val="both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У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тверждение и размещение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результатов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осуществляется ежегодно не позднее 15 марта года, следующего за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отчетн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ым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94"/>
              <w:jc w:val="both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shd w:val="clear" w:color="auto" w:fill="auto"/>
              <w:rPr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Пользователи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Публичные обсуждения проекта доклада о правоприменительной практике инспекции государственного строительного надзора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Ежегодно не позднее 15 марта года, следующего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отчетным</w:t>
            </w:r>
            <w:bookmarkStart w:id="0" w:name="_GoBack"/>
            <w:r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прозрачности системы государственного надзора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Объявление предостережения о недопустимости нарушения обязательных требований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случае наличия у инспекции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Недопущение нарушений обязательных требований контролируемыми лицами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10"/>
            <w:shd w:val="clear" w:color="auto" w:fill="auto"/>
            <w:tcW w:w="1488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профилактического визита: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обязательного профилактического визита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строительного надзора по Новосибирской области № 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течение трех месяцев со дня поступления в инспекцию от контролируемого лица извещения о начале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работ по строительству, реконструкции объекта капитального строительства, направленного в соответствии с </w:t>
            </w:r>
            <w:hyperlink r:id="rId29" w:tooltip="consultantplus://offline/ref=EB006101695F2B23AD12D888E441C2D4BF6218307AC6885FC237AA3F354899776209D5D7620560938F1A7C982DCA024415EAB4A6E379oAQ6B" w:history="1">
              <w:r>
                <w:rPr>
                  <w:rFonts w:ascii="Times New Roman" w:hAnsi="Times New Roman" w:eastAsia="Calibri" w:cs="Times New Roman"/>
                  <w:sz w:val="24"/>
                  <w:szCs w:val="24"/>
                </w:rPr>
                <w:t xml:space="preserve">частью 5 статьи 52</w:t>
              </w:r>
            </w:hyperlink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ГрК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РФ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5.2.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профилактического визита по инициативе контролируемого 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сроки, согласованные с контролируемым лицом (приложение  1)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должностными лицами инспекции консультирования (дача разъяснений по вопросам, связанным с организацией и осуществлением регионального государственного строительного надзора, порядку обжалования действий (бездействия) должностных лиц):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по телефону;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посредством видео-конференц-связи;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на личном приеме либо в ходе проведения профилактического мероприятия, контрольного (надзорного) мероприятия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обращения за консультацией контролируемых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единого понимания обязательных требований; повышение информированности пользователей о действующих обязательных требованиях; вовлечение контролируемых лиц во взаимодействие с инспекцией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Разработка, утверждение и размещение на официальном сайте инспекции в сети «Интернет» программы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до 30 сентября предшествующего года;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не позднее 19 декабря предшествующего года;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течение 5 дней со дня утверждения программы 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размещение доклада об итогах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программы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профилактики нарушений обязательных требований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области регионального государственного строительного надзора на территории Новосибирской области на 2024 год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официальном сайте инспекции в сети «Интернет»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доклада до 01.02.2025;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доклада на официальном сайте инспекции в сети «Интернет» до 15.02.2025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Повышение прозрачности системы государственного надзора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222"/>
        </w:trPr>
        <w:tc>
          <w:tcPr>
            <w:shd w:val="clear" w:color="auto" w:fill="auto"/>
            <w:tcW w:w="710" w:type="dxa"/>
            <w:vMerge w:val="restart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bottom w:val="single" w:color="000000" w:sz="4" w:space="0"/>
            </w:tcBorders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публичного мероприятия в форме семинара (вебинара)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auto" w:fill="auto"/>
            <w:tcW w:w="2693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2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12121"/>
                <w:sz w:val="24"/>
              </w:rPr>
              <w:t xml:space="preserve">Нормативно-технический отдел</w:t>
            </w:r>
            <w:r/>
          </w:p>
          <w:p>
            <w:pPr>
              <w:ind w:left="0" w:right="0" w:firstLine="0"/>
              <w:jc w:val="both"/>
              <w:spacing w:before="0" w:after="0" w:line="22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12121"/>
                <w:sz w:val="24"/>
              </w:rPr>
              <w:t xml:space="preserve">(383) 296-58-76</w:t>
            </w:r>
            <w:r/>
          </w:p>
        </w:tc>
        <w:tc>
          <w:tcPr>
            <w:gridSpan w:val="5"/>
            <w:shd w:val="clear" w:color="auto" w:fill="auto"/>
            <w:tcBorders>
              <w:bottom w:val="single" w:color="000000" w:sz="4" w:space="0"/>
            </w:tcBorders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раз во втором полугодии – не позднее 31.12.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color w:val="212121"/>
                <w:sz w:val="24"/>
                <w:highlight w:val="white"/>
              </w:rPr>
              <w:t xml:space="preserve">25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2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12121"/>
                <w:sz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vMerge w:val="restart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  <w14:ligatures w14:val="none"/>
              </w:rPr>
            </w:r>
          </w:p>
        </w:tc>
      </w:tr>
    </w:tbl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bCs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rPr>
          <w:rFonts w:ascii="Times New Roman" w:hAnsi="Times New Roman" w:cs="Times New Roman" w:eastAsiaTheme="majorEastAsia"/>
          <w:sz w:val="28"/>
          <w:szCs w:val="28"/>
        </w:rPr>
      </w:pPr>
      <w:r>
        <w:rPr>
          <w:rFonts w:ascii="Times New Roman" w:hAnsi="Times New Roman" w:cs="Times New Roman" w:eastAsiaTheme="majorEastAsia"/>
          <w:bCs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  <w:r>
        <w:rPr>
          <w:rFonts w:ascii="Times New Roman" w:hAnsi="Times New Roman" w:cs="Times New Roman" w:eastAsiaTheme="majorEastAsia"/>
          <w:sz w:val="28"/>
          <w:szCs w:val="28"/>
        </w:rPr>
      </w:r>
    </w:p>
    <w:p>
      <w:pPr>
        <w:pStyle w:val="712"/>
        <w:ind w:left="1134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 xml:space="preserve">ПРИЛОЖЕНИЕ</w:t>
      </w: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b w:val="0"/>
          <w:color w:val="auto"/>
        </w:rPr>
        <w:t xml:space="preserve">№ 1</w:t>
      </w:r>
      <w:r>
        <w:rPr>
          <w:rFonts w:ascii="Times New Roman" w:hAnsi="Times New Roman" w:cs="Times New Roman"/>
          <w:color w:val="auto"/>
        </w:rPr>
      </w:r>
      <w:r>
        <w:rPr>
          <w:rFonts w:ascii="Times New Roman" w:hAnsi="Times New Roman" w:cs="Times New Roman"/>
          <w:color w:val="auto"/>
        </w:rPr>
      </w:r>
    </w:p>
    <w:p>
      <w:pPr>
        <w:ind w:left="8364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плану-графику мероприятий по профилактике рисков причинения вреда (ущерба) охраняемым законом ценностям при осуществлении регионального государственного строительного надзора на территории Новосибирской области на 2025 год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8364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Перечень профилактических визитов, 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запланированных</w:t>
      </w:r>
      <w:r>
        <w:rPr>
          <w:rFonts w:ascii="Times New Roman" w:hAnsi="Times New Roman" w:cs="Times New Roman"/>
          <w:i/>
          <w:sz w:val="28"/>
          <w:szCs w:val="28"/>
        </w:rPr>
        <w:t xml:space="preserve"> к проведению, в соответствии с частью 13 статьи 52 Федерального закона от 31.07.2023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tbl>
      <w:tblPr>
        <w:tblStyle w:val="885"/>
        <w:tblW w:w="15163" w:type="dxa"/>
        <w:tblLayout w:type="fixed"/>
        <w:tblLook w:val="04A0" w:firstRow="1" w:lastRow="0" w:firstColumn="1" w:lastColumn="0" w:noHBand="0" w:noVBand="1"/>
      </w:tblPr>
      <w:tblGrid>
        <w:gridCol w:w="419"/>
        <w:gridCol w:w="1419"/>
        <w:gridCol w:w="1559"/>
        <w:gridCol w:w="1276"/>
        <w:gridCol w:w="2977"/>
        <w:gridCol w:w="2835"/>
        <w:gridCol w:w="1559"/>
        <w:gridCol w:w="1418"/>
        <w:gridCol w:w="1701"/>
      </w:tblGrid>
      <w:tr>
        <w:tblPrEx/>
        <w:trPr/>
        <w:tc>
          <w:tcPr>
            <w:tcW w:w="4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42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Сведения о контролируемом лице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97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Реквизиты решения о проведении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4"/>
            <w:tcW w:w="75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Сведения о согласованном с контролируемым лицом профилактическом визите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419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контролируемого лица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Основной государственный номер (ОГРН)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Идентификационный номер налогоплательщика (ИНН)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97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</w:r>
            <w:r>
              <w:rPr>
                <w:rFonts w:ascii="Times New Roman" w:hAnsi="Times New Roman" w:cs="Times New Roman"/>
                <w:i/>
              </w:rPr>
            </w:r>
            <w:r>
              <w:rPr>
                <w:rFonts w:ascii="Times New Roman" w:hAnsi="Times New Roman" w:cs="Times New Roman"/>
                <w:i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Форма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(на месте осуществления деятельности / видео-конференц-связи)</w:t>
            </w:r>
            <w:r>
              <w:rPr>
                <w:rFonts w:ascii="Times New Roman" w:hAnsi="Times New Roman" w:cs="Times New Roman"/>
                <w:i/>
              </w:rPr>
            </w:r>
            <w:r>
              <w:rPr>
                <w:rFonts w:ascii="Times New Roman" w:hAnsi="Times New Roman" w:cs="Times New Roman"/>
                <w:i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проведения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проведения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 проведения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4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4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9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5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83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6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7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8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9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</w:tr>
      <w:tr>
        <w:tblPrEx/>
        <w:trPr/>
        <w:tc>
          <w:tcPr>
            <w:tcW w:w="4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97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83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ind w:left="113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6838" w:h="11906" w:orient="landscape"/>
      <w:pgMar w:top="567" w:right="992" w:bottom="1418" w:left="992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 CYR">
    <w:panose1 w:val="02020603050405020304"/>
  </w:font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570883921"/>
      <w:docPartObj>
        <w:docPartGallery w:val="Page Numbers (Top of Page)"/>
        <w:docPartUnique w:val="true"/>
      </w:docPartObj>
      <w:rPr/>
    </w:sdtPr>
    <w:sdtContent>
      <w:p>
        <w:pPr>
          <w:pStyle w:val="898"/>
          <w:jc w:val="center"/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 xml:space="preserve"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  <w:r/>
      </w:p>
    </w:sdtContent>
  </w:sdt>
  <w:p>
    <w:pPr>
      <w:pStyle w:val="89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300" w:hanging="234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z w:val="28"/>
        <w:szCs w:val="28"/>
        <w:lang w:val="ru-RU" w:eastAsia="en-US" w:bidi="ar-SA"/>
      </w:rPr>
    </w:lvl>
    <w:lvl w:ilvl="1">
      <w:start w:val="1"/>
      <w:numFmt w:val="bullet"/>
      <w:isLgl w:val="false"/>
      <w:suff w:val="tab"/>
      <w:lvlText w:val="-"/>
      <w:lvlJc w:val="left"/>
      <w:pPr>
        <w:ind w:left="271" w:hanging="259"/>
      </w:pPr>
      <w:rPr>
        <w:rFonts w:hint="default" w:ascii="Times New Roman" w:hAnsi="Times New Roman" w:eastAsia="Times New Roman" w:cs="Times New Roman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1422" w:hanging="259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2544" w:hanging="259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3666" w:hanging="259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4788" w:hanging="259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5911" w:hanging="259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033" w:hanging="259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8155" w:hanging="259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410" w:hanging="885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935" w:hanging="885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729" w:hanging="10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•"/>
      <w:lvlJc w:val="left"/>
      <w:pPr>
        <w:ind w:left="283" w:hanging="723"/>
      </w:pPr>
      <w:rPr>
        <w:rFonts w:hint="default" w:ascii="Times New Roman" w:hAnsi="Times New Roman" w:eastAsia="Times New Roman" w:cs="Times New Roman"/>
        <w:lang w:val="ru-RU" w:eastAsia="en-US" w:bidi="ar-SA"/>
      </w:rPr>
    </w:lvl>
    <w:lvl w:ilvl="1">
      <w:start w:val="1"/>
      <w:numFmt w:val="bullet"/>
      <w:isLgl w:val="false"/>
      <w:suff w:val="tab"/>
      <w:lvlText w:val="•"/>
      <w:lvlJc w:val="left"/>
      <w:pPr>
        <w:ind w:left="1292" w:hanging="723"/>
      </w:pPr>
      <w:rPr>
        <w:rFonts w:hint="default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2304" w:hanging="723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3316" w:hanging="723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4328" w:hanging="723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5340" w:hanging="723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6352" w:hanging="723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364" w:hanging="723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8376" w:hanging="723"/>
      </w:pPr>
      <w:rPr>
        <w:rFonts w:hint="default"/>
        <w:lang w:val="ru-RU" w:eastAsia="en-US" w:bidi="ar-SA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155" w:hanging="1020"/>
      </w:pPr>
      <w:rPr>
        <w:rFonts w:hint="default"/>
        <w:u w:val="none"/>
      </w:rPr>
    </w:lvl>
    <w:lvl w:ilvl="1">
      <w:start w:val="1"/>
      <w:numFmt w:val="lowerLetter"/>
      <w:isLgl w:val="false"/>
      <w:suff w:val="tab"/>
      <w:lvlText w:val="%2."/>
      <w:lvlJc w:val="left"/>
      <w:pPr>
        <w:ind w:left="221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3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5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7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9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1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3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55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num w:numId="1">
    <w:abstractNumId w:val="10"/>
  </w:num>
  <w:num w:numId="2">
    <w:abstractNumId w:val="7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13"/>
  </w:num>
  <w:num w:numId="8">
    <w:abstractNumId w:val="8"/>
  </w:num>
  <w:num w:numId="9">
    <w:abstractNumId w:val="11"/>
  </w:num>
  <w:num w:numId="10">
    <w:abstractNumId w:val="1"/>
  </w:num>
  <w:num w:numId="11">
    <w:abstractNumId w:val="9"/>
  </w:num>
  <w:num w:numId="12">
    <w:abstractNumId w:val="5"/>
  </w:num>
  <w:num w:numId="13">
    <w:abstractNumId w:val="6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06">
    <w:name w:val="Heading 9 Char"/>
    <w:basedOn w:val="721"/>
    <w:link w:val="720"/>
    <w:uiPriority w:val="9"/>
    <w:rPr>
      <w:rFonts w:ascii="Arial" w:hAnsi="Arial" w:eastAsia="Arial" w:cs="Arial"/>
      <w:i/>
      <w:iCs/>
      <w:sz w:val="21"/>
      <w:szCs w:val="21"/>
    </w:rPr>
  </w:style>
  <w:style w:type="character" w:styleId="707">
    <w:name w:val="Title Char"/>
    <w:basedOn w:val="721"/>
    <w:link w:val="733"/>
    <w:uiPriority w:val="10"/>
    <w:rPr>
      <w:sz w:val="48"/>
      <w:szCs w:val="48"/>
    </w:rPr>
  </w:style>
  <w:style w:type="character" w:styleId="708">
    <w:name w:val="Subtitle Char"/>
    <w:basedOn w:val="721"/>
    <w:link w:val="735"/>
    <w:uiPriority w:val="11"/>
    <w:rPr>
      <w:sz w:val="24"/>
      <w:szCs w:val="24"/>
    </w:rPr>
  </w:style>
  <w:style w:type="character" w:styleId="709">
    <w:name w:val="Quote Char"/>
    <w:link w:val="737"/>
    <w:uiPriority w:val="29"/>
    <w:rPr>
      <w:i/>
    </w:rPr>
  </w:style>
  <w:style w:type="character" w:styleId="710">
    <w:name w:val="Intense Quote Char"/>
    <w:link w:val="739"/>
    <w:uiPriority w:val="30"/>
    <w:rPr>
      <w:i/>
    </w:rPr>
  </w:style>
  <w:style w:type="paragraph" w:styleId="711" w:default="1">
    <w:name w:val="Normal"/>
    <w:qFormat/>
  </w:style>
  <w:style w:type="paragraph" w:styleId="712">
    <w:name w:val="Heading 1"/>
    <w:basedOn w:val="711"/>
    <w:next w:val="711"/>
    <w:link w:val="902"/>
    <w:uiPriority w:val="9"/>
    <w:qFormat/>
    <w:pPr>
      <w:keepLines/>
      <w:keepNext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713">
    <w:name w:val="Heading 2"/>
    <w:basedOn w:val="711"/>
    <w:next w:val="711"/>
    <w:link w:val="903"/>
    <w:uiPriority w:val="9"/>
    <w:unhideWhenUsed/>
    <w:qFormat/>
    <w:pPr>
      <w:keepLines/>
      <w:keepNext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714">
    <w:name w:val="Heading 3"/>
    <w:basedOn w:val="711"/>
    <w:next w:val="711"/>
    <w:link w:val="904"/>
    <w:uiPriority w:val="9"/>
    <w:unhideWhenUsed/>
    <w:qFormat/>
    <w:pPr>
      <w:keepLines/>
      <w:keepNext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715">
    <w:name w:val="Heading 4"/>
    <w:basedOn w:val="711"/>
    <w:link w:val="897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paragraph" w:styleId="716">
    <w:name w:val="Heading 5"/>
    <w:basedOn w:val="711"/>
    <w:next w:val="711"/>
    <w:link w:val="905"/>
    <w:uiPriority w:val="9"/>
    <w:unhideWhenUsed/>
    <w:qFormat/>
    <w:pPr>
      <w:keepLines/>
      <w:keepNext/>
      <w:spacing w:before="200" w:after="0"/>
      <w:outlineLvl w:val="4"/>
    </w:pPr>
    <w:rPr>
      <w:rFonts w:asciiTheme="majorHAnsi" w:hAnsiTheme="majorHAnsi" w:eastAsiaTheme="majorEastAsia" w:cstheme="majorBidi"/>
      <w:color w:val="243f60" w:themeColor="accent1" w:themeShade="7F"/>
    </w:rPr>
  </w:style>
  <w:style w:type="paragraph" w:styleId="717">
    <w:name w:val="Heading 6"/>
    <w:basedOn w:val="711"/>
    <w:next w:val="711"/>
    <w:link w:val="906"/>
    <w:uiPriority w:val="9"/>
    <w:unhideWhenUsed/>
    <w:qFormat/>
    <w:pPr>
      <w:keepLines/>
      <w:keepNext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paragraph" w:styleId="718">
    <w:name w:val="Heading 7"/>
    <w:basedOn w:val="711"/>
    <w:next w:val="711"/>
    <w:link w:val="907"/>
    <w:uiPriority w:val="9"/>
    <w:unhideWhenUsed/>
    <w:qFormat/>
    <w:pPr>
      <w:keepLines/>
      <w:keepNext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paragraph" w:styleId="719">
    <w:name w:val="Heading 8"/>
    <w:basedOn w:val="711"/>
    <w:next w:val="711"/>
    <w:link w:val="908"/>
    <w:uiPriority w:val="9"/>
    <w:unhideWhenUsed/>
    <w:qFormat/>
    <w:pPr>
      <w:keepLines/>
      <w:keepNext/>
      <w:spacing w:before="200" w:after="0"/>
      <w:outlineLvl w:val="7"/>
    </w:pPr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paragraph" w:styleId="720">
    <w:name w:val="Heading 9"/>
    <w:basedOn w:val="711"/>
    <w:next w:val="711"/>
    <w:link w:val="732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1" w:default="1">
    <w:name w:val="Default Paragraph Font"/>
    <w:uiPriority w:val="1"/>
    <w:semiHidden/>
    <w:unhideWhenUsed/>
  </w:style>
  <w:style w:type="table" w:styleId="72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3" w:default="1">
    <w:name w:val="No List"/>
    <w:uiPriority w:val="99"/>
    <w:semiHidden/>
    <w:unhideWhenUsed/>
  </w:style>
  <w:style w:type="character" w:styleId="724" w:customStyle="1">
    <w:name w:val="Heading 1 Char"/>
    <w:basedOn w:val="721"/>
    <w:uiPriority w:val="9"/>
    <w:rPr>
      <w:rFonts w:ascii="Arial" w:hAnsi="Arial" w:eastAsia="Arial" w:cs="Arial"/>
      <w:sz w:val="40"/>
      <w:szCs w:val="40"/>
    </w:rPr>
  </w:style>
  <w:style w:type="character" w:styleId="725" w:customStyle="1">
    <w:name w:val="Heading 2 Char"/>
    <w:basedOn w:val="721"/>
    <w:uiPriority w:val="9"/>
    <w:rPr>
      <w:rFonts w:ascii="Arial" w:hAnsi="Arial" w:eastAsia="Arial" w:cs="Arial"/>
      <w:sz w:val="34"/>
    </w:rPr>
  </w:style>
  <w:style w:type="character" w:styleId="726" w:customStyle="1">
    <w:name w:val="Heading 3 Char"/>
    <w:basedOn w:val="721"/>
    <w:uiPriority w:val="9"/>
    <w:rPr>
      <w:rFonts w:ascii="Arial" w:hAnsi="Arial" w:eastAsia="Arial" w:cs="Arial"/>
      <w:sz w:val="30"/>
      <w:szCs w:val="30"/>
    </w:rPr>
  </w:style>
  <w:style w:type="character" w:styleId="727" w:customStyle="1">
    <w:name w:val="Heading 4 Char"/>
    <w:basedOn w:val="721"/>
    <w:uiPriority w:val="9"/>
    <w:rPr>
      <w:rFonts w:ascii="Arial" w:hAnsi="Arial" w:eastAsia="Arial" w:cs="Arial"/>
      <w:b/>
      <w:bCs/>
      <w:sz w:val="26"/>
      <w:szCs w:val="26"/>
    </w:rPr>
  </w:style>
  <w:style w:type="character" w:styleId="728" w:customStyle="1">
    <w:name w:val="Heading 5 Char"/>
    <w:basedOn w:val="721"/>
    <w:uiPriority w:val="9"/>
    <w:rPr>
      <w:rFonts w:ascii="Arial" w:hAnsi="Arial" w:eastAsia="Arial" w:cs="Arial"/>
      <w:b/>
      <w:bCs/>
      <w:sz w:val="24"/>
      <w:szCs w:val="24"/>
    </w:rPr>
  </w:style>
  <w:style w:type="character" w:styleId="729" w:customStyle="1">
    <w:name w:val="Heading 6 Char"/>
    <w:basedOn w:val="721"/>
    <w:uiPriority w:val="9"/>
    <w:rPr>
      <w:rFonts w:ascii="Arial" w:hAnsi="Arial" w:eastAsia="Arial" w:cs="Arial"/>
      <w:b/>
      <w:bCs/>
      <w:sz w:val="22"/>
      <w:szCs w:val="22"/>
    </w:rPr>
  </w:style>
  <w:style w:type="character" w:styleId="730" w:customStyle="1">
    <w:name w:val="Heading 7 Char"/>
    <w:basedOn w:val="72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1" w:customStyle="1">
    <w:name w:val="Heading 8 Char"/>
    <w:basedOn w:val="721"/>
    <w:uiPriority w:val="9"/>
    <w:rPr>
      <w:rFonts w:ascii="Arial" w:hAnsi="Arial" w:eastAsia="Arial" w:cs="Arial"/>
      <w:i/>
      <w:iCs/>
      <w:sz w:val="22"/>
      <w:szCs w:val="22"/>
    </w:rPr>
  </w:style>
  <w:style w:type="character" w:styleId="732" w:customStyle="1">
    <w:name w:val="Заголовок 9 Знак"/>
    <w:basedOn w:val="721"/>
    <w:link w:val="720"/>
    <w:uiPriority w:val="9"/>
    <w:rPr>
      <w:rFonts w:ascii="Arial" w:hAnsi="Arial" w:eastAsia="Arial" w:cs="Arial"/>
      <w:i/>
      <w:iCs/>
      <w:sz w:val="21"/>
      <w:szCs w:val="21"/>
    </w:rPr>
  </w:style>
  <w:style w:type="paragraph" w:styleId="733">
    <w:name w:val="Title"/>
    <w:basedOn w:val="711"/>
    <w:next w:val="711"/>
    <w:link w:val="734"/>
    <w:uiPriority w:val="10"/>
    <w:qFormat/>
    <w:pPr>
      <w:contextualSpacing/>
      <w:spacing w:before="300"/>
    </w:pPr>
    <w:rPr>
      <w:sz w:val="48"/>
      <w:szCs w:val="48"/>
    </w:rPr>
  </w:style>
  <w:style w:type="character" w:styleId="734" w:customStyle="1">
    <w:name w:val="Название Знак"/>
    <w:basedOn w:val="721"/>
    <w:link w:val="733"/>
    <w:uiPriority w:val="10"/>
    <w:rPr>
      <w:sz w:val="48"/>
      <w:szCs w:val="48"/>
    </w:rPr>
  </w:style>
  <w:style w:type="paragraph" w:styleId="735">
    <w:name w:val="Subtitle"/>
    <w:basedOn w:val="711"/>
    <w:next w:val="711"/>
    <w:link w:val="736"/>
    <w:uiPriority w:val="11"/>
    <w:qFormat/>
    <w:pPr>
      <w:spacing w:before="200"/>
    </w:pPr>
    <w:rPr>
      <w:sz w:val="24"/>
      <w:szCs w:val="24"/>
    </w:rPr>
  </w:style>
  <w:style w:type="character" w:styleId="736" w:customStyle="1">
    <w:name w:val="Подзаголовок Знак"/>
    <w:basedOn w:val="721"/>
    <w:link w:val="735"/>
    <w:uiPriority w:val="11"/>
    <w:rPr>
      <w:sz w:val="24"/>
      <w:szCs w:val="24"/>
    </w:rPr>
  </w:style>
  <w:style w:type="paragraph" w:styleId="737">
    <w:name w:val="Quote"/>
    <w:basedOn w:val="711"/>
    <w:next w:val="711"/>
    <w:link w:val="738"/>
    <w:uiPriority w:val="29"/>
    <w:qFormat/>
    <w:pPr>
      <w:ind w:left="720" w:right="720"/>
    </w:pPr>
    <w:rPr>
      <w:i/>
    </w:rPr>
  </w:style>
  <w:style w:type="character" w:styleId="738" w:customStyle="1">
    <w:name w:val="Цитата 2 Знак"/>
    <w:link w:val="737"/>
    <w:uiPriority w:val="29"/>
    <w:rPr>
      <w:i/>
    </w:rPr>
  </w:style>
  <w:style w:type="paragraph" w:styleId="739">
    <w:name w:val="Intense Quote"/>
    <w:basedOn w:val="711"/>
    <w:next w:val="711"/>
    <w:link w:val="74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0" w:customStyle="1">
    <w:name w:val="Выделенная цитата Знак"/>
    <w:link w:val="739"/>
    <w:uiPriority w:val="30"/>
    <w:rPr>
      <w:i/>
    </w:rPr>
  </w:style>
  <w:style w:type="character" w:styleId="741" w:customStyle="1">
    <w:name w:val="Header Char"/>
    <w:basedOn w:val="721"/>
    <w:uiPriority w:val="99"/>
  </w:style>
  <w:style w:type="character" w:styleId="742" w:customStyle="1">
    <w:name w:val="Footer Char"/>
    <w:basedOn w:val="721"/>
    <w:uiPriority w:val="99"/>
  </w:style>
  <w:style w:type="paragraph" w:styleId="743">
    <w:name w:val="Caption"/>
    <w:basedOn w:val="711"/>
    <w:next w:val="711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44" w:customStyle="1">
    <w:name w:val="Caption Char"/>
    <w:uiPriority w:val="99"/>
  </w:style>
  <w:style w:type="table" w:styleId="745" w:customStyle="1">
    <w:name w:val="Table Grid Light"/>
    <w:basedOn w:val="72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46" w:customStyle="1">
    <w:name w:val="Plain Table 1"/>
    <w:basedOn w:val="72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7" w:customStyle="1">
    <w:name w:val="Plain Table 2"/>
    <w:basedOn w:val="72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8" w:customStyle="1">
    <w:name w:val="Plain Table 3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9" w:customStyle="1">
    <w:name w:val="Plain Table 4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 w:customStyle="1">
    <w:name w:val="Plain Table 5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1" w:customStyle="1">
    <w:name w:val="Grid Table 1 Light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 w:customStyle="1">
    <w:name w:val="Grid Table 1 Light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 w:customStyle="1">
    <w:name w:val="Grid Table 1 Light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 w:customStyle="1">
    <w:name w:val="Grid Table 1 Light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 w:customStyle="1">
    <w:name w:val="Grid Table 1 Light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 w:customStyle="1">
    <w:name w:val="Grid Table 1 Light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 w:customStyle="1">
    <w:name w:val="Grid Table 1 Light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 w:customStyle="1">
    <w:name w:val="Grid Table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2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2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2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2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2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2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Grid Table 3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Grid Table 3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3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3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3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3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4"/>
    <w:basedOn w:val="722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3" w:customStyle="1">
    <w:name w:val="Grid Table 4 - Accent 1"/>
    <w:basedOn w:val="72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74" w:customStyle="1">
    <w:name w:val="Grid Table 4 - Accent 2"/>
    <w:basedOn w:val="722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75" w:customStyle="1">
    <w:name w:val="Grid Table 4 - Accent 3"/>
    <w:basedOn w:val="722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76" w:customStyle="1">
    <w:name w:val="Grid Table 4 - Accent 4"/>
    <w:basedOn w:val="722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77" w:customStyle="1">
    <w:name w:val="Grid Table 4 - Accent 5"/>
    <w:basedOn w:val="72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78" w:customStyle="1">
    <w:name w:val="Grid Table 4 - Accent 6"/>
    <w:basedOn w:val="72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79" w:customStyle="1">
    <w:name w:val="Grid Table 5 Dark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80" w:customStyle="1">
    <w:name w:val="Grid Table 5 Dark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81" w:customStyle="1">
    <w:name w:val="Grid Table 5 Dark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82" w:customStyle="1">
    <w:name w:val="Grid Table 5 Dark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83" w:customStyle="1">
    <w:name w:val="Grid Table 5 Dark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84" w:customStyle="1">
    <w:name w:val="Grid Table 5 Dark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85" w:customStyle="1">
    <w:name w:val="Grid Table 5 Dark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86" w:customStyle="1">
    <w:name w:val="Grid Table 6 Colorful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87" w:customStyle="1">
    <w:name w:val="Grid Table 6 Colorful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88" w:customStyle="1">
    <w:name w:val="Grid Table 6 Colorful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89" w:customStyle="1">
    <w:name w:val="Grid Table 6 Colorful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90" w:customStyle="1">
    <w:name w:val="Grid Table 6 Colorful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91" w:customStyle="1">
    <w:name w:val="Grid Table 6 Colorful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92" w:customStyle="1">
    <w:name w:val="Grid Table 6 Colorful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93" w:customStyle="1">
    <w:name w:val="Grid Table 7 Colorful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 w:customStyle="1">
    <w:name w:val="Grid Table 7 Colorful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 w:customStyle="1">
    <w:name w:val="Grid Table 7 Colorful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Grid Table 7 Colorful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Grid Table 7 Colorful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Grid Table 7 Colorful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Grid Table 7 Colorful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List Table 1 Light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List Table 1 Light - Accent 1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List Table 1 Light - Accent 2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 w:customStyle="1">
    <w:name w:val="List Table 1 Light - Accent 3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 w:customStyle="1">
    <w:name w:val="List Table 1 Light - Accent 4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 w:customStyle="1">
    <w:name w:val="List Table 1 Light - Accent 5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 w:customStyle="1">
    <w:name w:val="List Table 1 Light - Accent 6"/>
    <w:basedOn w:val="72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 w:customStyle="1">
    <w:name w:val="List Table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8" w:customStyle="1">
    <w:name w:val="List Table 2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09" w:customStyle="1">
    <w:name w:val="List Table 2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10" w:customStyle="1">
    <w:name w:val="List Table 2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11" w:customStyle="1">
    <w:name w:val="List Table 2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12" w:customStyle="1">
    <w:name w:val="List Table 2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13" w:customStyle="1">
    <w:name w:val="List Table 2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14" w:customStyle="1">
    <w:name w:val="List Table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 w:customStyle="1">
    <w:name w:val="List Table 3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 w:customStyle="1">
    <w:name w:val="List Table 3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 w:customStyle="1">
    <w:name w:val="List Table 3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 w:customStyle="1">
    <w:name w:val="List Table 3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List Table 3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List Table 3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List Table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 w:customStyle="1">
    <w:name w:val="List Table 4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 w:customStyle="1">
    <w:name w:val="List Table 4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List Table 4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List Table 4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 w:customStyle="1">
    <w:name w:val="List Table 4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4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5 Dark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9" w:customStyle="1">
    <w:name w:val="List Table 5 Dark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0" w:customStyle="1">
    <w:name w:val="List Table 5 Dark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1" w:customStyle="1">
    <w:name w:val="List Table 5 Dark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2" w:customStyle="1">
    <w:name w:val="List Table 5 Dark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3" w:customStyle="1">
    <w:name w:val="List Table 5 Dark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4" w:customStyle="1">
    <w:name w:val="List Table 5 Dark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5" w:customStyle="1">
    <w:name w:val="List Table 6 Colorful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36" w:customStyle="1">
    <w:name w:val="List Table 6 Colorful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37" w:customStyle="1">
    <w:name w:val="List Table 6 Colorful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38" w:customStyle="1">
    <w:name w:val="List Table 6 Colorful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39" w:customStyle="1">
    <w:name w:val="List Table 6 Colorful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40" w:customStyle="1">
    <w:name w:val="List Table 6 Colorful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41" w:customStyle="1">
    <w:name w:val="List Table 6 Colorful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42" w:customStyle="1">
    <w:name w:val="List Table 7 Colorful"/>
    <w:basedOn w:val="72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 w:customStyle="1">
    <w:name w:val="List Table 7 Colorful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 w:customStyle="1">
    <w:name w:val="List Table 7 Colorful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 w:customStyle="1">
    <w:name w:val="List Table 7 Colorful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 w:customStyle="1">
    <w:name w:val="List Table 7 Colorful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 w:customStyle="1">
    <w:name w:val="List Table 7 Colorful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 w:customStyle="1">
    <w:name w:val="List Table 7 Colorful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 w:customStyle="1">
    <w:name w:val="Lined - Accent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0" w:customStyle="1">
    <w:name w:val="Lined - Accent 1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51" w:customStyle="1">
    <w:name w:val="Lined - Accent 2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52" w:customStyle="1">
    <w:name w:val="Lined - Accent 3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53" w:customStyle="1">
    <w:name w:val="Lined - Accent 4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54" w:customStyle="1">
    <w:name w:val="Lined - Accent 5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55" w:customStyle="1">
    <w:name w:val="Lined - Accent 6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56" w:customStyle="1">
    <w:name w:val="Bordered &amp; Lined - Accent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7" w:customStyle="1">
    <w:name w:val="Bordered &amp; Lined - Accent 1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58" w:customStyle="1">
    <w:name w:val="Bordered &amp; Lined - Accent 2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59" w:customStyle="1">
    <w:name w:val="Bordered &amp; Lined - Accent 3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0" w:customStyle="1">
    <w:name w:val="Bordered &amp; Lined - Accent 4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1" w:customStyle="1">
    <w:name w:val="Bordered &amp; Lined - Accent 5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2" w:customStyle="1">
    <w:name w:val="Bordered &amp; Lined - Accent 6"/>
    <w:basedOn w:val="72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3" w:customStyle="1">
    <w:name w:val="Bordered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64" w:customStyle="1">
    <w:name w:val="Bordered - Accent 1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65" w:customStyle="1">
    <w:name w:val="Bordered - Accent 2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66" w:customStyle="1">
    <w:name w:val="Bordered - Accent 3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67" w:customStyle="1">
    <w:name w:val="Bordered - Accent 4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68" w:customStyle="1">
    <w:name w:val="Bordered - Accent 5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69" w:customStyle="1">
    <w:name w:val="Bordered - Accent 6"/>
    <w:basedOn w:val="72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70" w:customStyle="1">
    <w:name w:val="Footnote Text Char"/>
    <w:uiPriority w:val="99"/>
    <w:rPr>
      <w:sz w:val="18"/>
    </w:rPr>
  </w:style>
  <w:style w:type="character" w:styleId="871" w:customStyle="1">
    <w:name w:val="Endnote Text Char"/>
    <w:uiPriority w:val="99"/>
    <w:rPr>
      <w:sz w:val="20"/>
    </w:rPr>
  </w:style>
  <w:style w:type="paragraph" w:styleId="872">
    <w:name w:val="toc 1"/>
    <w:basedOn w:val="711"/>
    <w:next w:val="711"/>
    <w:uiPriority w:val="39"/>
    <w:unhideWhenUsed/>
    <w:pPr>
      <w:spacing w:after="57"/>
    </w:pPr>
  </w:style>
  <w:style w:type="paragraph" w:styleId="873">
    <w:name w:val="toc 2"/>
    <w:basedOn w:val="711"/>
    <w:next w:val="711"/>
    <w:uiPriority w:val="39"/>
    <w:unhideWhenUsed/>
    <w:pPr>
      <w:ind w:left="283"/>
      <w:spacing w:after="57"/>
    </w:pPr>
  </w:style>
  <w:style w:type="paragraph" w:styleId="874">
    <w:name w:val="toc 3"/>
    <w:basedOn w:val="711"/>
    <w:next w:val="711"/>
    <w:uiPriority w:val="39"/>
    <w:unhideWhenUsed/>
    <w:pPr>
      <w:ind w:left="567"/>
      <w:spacing w:after="57"/>
    </w:pPr>
  </w:style>
  <w:style w:type="paragraph" w:styleId="875">
    <w:name w:val="toc 4"/>
    <w:basedOn w:val="711"/>
    <w:next w:val="711"/>
    <w:uiPriority w:val="39"/>
    <w:unhideWhenUsed/>
    <w:pPr>
      <w:ind w:left="850"/>
      <w:spacing w:after="57"/>
    </w:pPr>
  </w:style>
  <w:style w:type="paragraph" w:styleId="876">
    <w:name w:val="toc 5"/>
    <w:basedOn w:val="711"/>
    <w:next w:val="711"/>
    <w:uiPriority w:val="39"/>
    <w:unhideWhenUsed/>
    <w:pPr>
      <w:ind w:left="1134"/>
      <w:spacing w:after="57"/>
    </w:pPr>
  </w:style>
  <w:style w:type="paragraph" w:styleId="877">
    <w:name w:val="toc 6"/>
    <w:basedOn w:val="711"/>
    <w:next w:val="711"/>
    <w:uiPriority w:val="39"/>
    <w:unhideWhenUsed/>
    <w:pPr>
      <w:ind w:left="1417"/>
      <w:spacing w:after="57"/>
    </w:pPr>
  </w:style>
  <w:style w:type="paragraph" w:styleId="878">
    <w:name w:val="toc 7"/>
    <w:basedOn w:val="711"/>
    <w:next w:val="711"/>
    <w:uiPriority w:val="39"/>
    <w:unhideWhenUsed/>
    <w:pPr>
      <w:ind w:left="1701"/>
      <w:spacing w:after="57"/>
    </w:pPr>
  </w:style>
  <w:style w:type="paragraph" w:styleId="879">
    <w:name w:val="toc 8"/>
    <w:basedOn w:val="711"/>
    <w:next w:val="711"/>
    <w:uiPriority w:val="39"/>
    <w:unhideWhenUsed/>
    <w:pPr>
      <w:ind w:left="1984"/>
      <w:spacing w:after="57"/>
    </w:pPr>
  </w:style>
  <w:style w:type="paragraph" w:styleId="880">
    <w:name w:val="toc 9"/>
    <w:basedOn w:val="711"/>
    <w:next w:val="711"/>
    <w:uiPriority w:val="39"/>
    <w:unhideWhenUsed/>
    <w:pPr>
      <w:ind w:left="2268"/>
      <w:spacing w:after="57"/>
    </w:pPr>
  </w:style>
  <w:style w:type="paragraph" w:styleId="881">
    <w:name w:val="TOC Heading"/>
    <w:uiPriority w:val="39"/>
    <w:unhideWhenUsed/>
  </w:style>
  <w:style w:type="paragraph" w:styleId="882">
    <w:name w:val="table of figures"/>
    <w:basedOn w:val="711"/>
    <w:next w:val="711"/>
    <w:uiPriority w:val="99"/>
    <w:unhideWhenUsed/>
    <w:pPr>
      <w:spacing w:after="0"/>
    </w:pPr>
  </w:style>
  <w:style w:type="paragraph" w:styleId="883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884">
    <w:name w:val="List Paragraph"/>
    <w:basedOn w:val="711"/>
    <w:uiPriority w:val="1"/>
    <w:qFormat/>
    <w:pPr>
      <w:contextualSpacing/>
      <w:ind w:left="720"/>
    </w:pPr>
  </w:style>
  <w:style w:type="table" w:styleId="885">
    <w:name w:val="Table Grid"/>
    <w:basedOn w:val="722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86">
    <w:name w:val="Hyperlink"/>
    <w:basedOn w:val="721"/>
    <w:uiPriority w:val="99"/>
    <w:unhideWhenUsed/>
    <w:rPr>
      <w:color w:val="0000ff" w:themeColor="hyperlink"/>
      <w:u w:val="single"/>
    </w:rPr>
  </w:style>
  <w:style w:type="character" w:styleId="887">
    <w:name w:val="annotation reference"/>
    <w:basedOn w:val="721"/>
    <w:uiPriority w:val="99"/>
    <w:semiHidden/>
    <w:unhideWhenUsed/>
    <w:rPr>
      <w:sz w:val="16"/>
      <w:szCs w:val="16"/>
    </w:rPr>
  </w:style>
  <w:style w:type="paragraph" w:styleId="888">
    <w:name w:val="annotation text"/>
    <w:basedOn w:val="711"/>
    <w:link w:val="889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89" w:customStyle="1">
    <w:name w:val="Текст примечания Знак"/>
    <w:basedOn w:val="721"/>
    <w:link w:val="888"/>
    <w:uiPriority w:val="99"/>
    <w:semiHidden/>
    <w:rPr>
      <w:sz w:val="20"/>
      <w:szCs w:val="20"/>
    </w:rPr>
  </w:style>
  <w:style w:type="paragraph" w:styleId="890">
    <w:name w:val="annotation subject"/>
    <w:basedOn w:val="888"/>
    <w:next w:val="888"/>
    <w:link w:val="891"/>
    <w:uiPriority w:val="99"/>
    <w:semiHidden/>
    <w:unhideWhenUsed/>
    <w:rPr>
      <w:b/>
      <w:bCs/>
    </w:rPr>
  </w:style>
  <w:style w:type="character" w:styleId="891" w:customStyle="1">
    <w:name w:val="Тема примечания Знак"/>
    <w:basedOn w:val="889"/>
    <w:link w:val="890"/>
    <w:uiPriority w:val="99"/>
    <w:semiHidden/>
    <w:rPr>
      <w:b/>
      <w:bCs/>
      <w:sz w:val="20"/>
      <w:szCs w:val="20"/>
    </w:rPr>
  </w:style>
  <w:style w:type="paragraph" w:styleId="892">
    <w:name w:val="Balloon Text"/>
    <w:basedOn w:val="711"/>
    <w:link w:val="89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93" w:customStyle="1">
    <w:name w:val="Текст выноски Знак"/>
    <w:basedOn w:val="721"/>
    <w:link w:val="892"/>
    <w:uiPriority w:val="99"/>
    <w:semiHidden/>
    <w:rPr>
      <w:rFonts w:ascii="Tahoma" w:hAnsi="Tahoma" w:cs="Tahoma"/>
      <w:sz w:val="16"/>
      <w:szCs w:val="16"/>
    </w:rPr>
  </w:style>
  <w:style w:type="paragraph" w:styleId="894" w:customStyle="1">
    <w:name w:val="ConsPlusNormal"/>
    <w:pPr>
      <w:spacing w:after="0" w:line="240" w:lineRule="auto"/>
    </w:pPr>
    <w:rPr>
      <w:rFonts w:ascii="Arial" w:hAnsi="Arial" w:eastAsia="Calibri" w:cs="Arial"/>
      <w:sz w:val="20"/>
      <w:szCs w:val="20"/>
    </w:rPr>
  </w:style>
  <w:style w:type="paragraph" w:styleId="895" w:customStyle="1">
    <w:name w:val="formattext"/>
    <w:basedOn w:val="71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96" w:customStyle="1">
    <w:name w:val="headertext"/>
    <w:basedOn w:val="71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97" w:customStyle="1">
    <w:name w:val="Заголовок 4 Знак"/>
    <w:basedOn w:val="721"/>
    <w:link w:val="715"/>
    <w:uiPriority w:val="9"/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paragraph" w:styleId="898">
    <w:name w:val="Header"/>
    <w:basedOn w:val="711"/>
    <w:link w:val="89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99" w:customStyle="1">
    <w:name w:val="Верхний колонтитул Знак"/>
    <w:basedOn w:val="721"/>
    <w:link w:val="898"/>
    <w:uiPriority w:val="99"/>
  </w:style>
  <w:style w:type="paragraph" w:styleId="900">
    <w:name w:val="Footer"/>
    <w:basedOn w:val="711"/>
    <w:link w:val="90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01" w:customStyle="1">
    <w:name w:val="Нижний колонтитул Знак"/>
    <w:basedOn w:val="721"/>
    <w:link w:val="900"/>
    <w:uiPriority w:val="99"/>
  </w:style>
  <w:style w:type="character" w:styleId="902" w:customStyle="1">
    <w:name w:val="Заголовок 1 Знак"/>
    <w:basedOn w:val="721"/>
    <w:link w:val="712"/>
    <w:uiPriority w:val="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903" w:customStyle="1">
    <w:name w:val="Заголовок 2 Знак"/>
    <w:basedOn w:val="721"/>
    <w:link w:val="713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904" w:customStyle="1">
    <w:name w:val="Заголовок 3 Знак"/>
    <w:basedOn w:val="721"/>
    <w:link w:val="714"/>
    <w:uiPriority w:val="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905" w:customStyle="1">
    <w:name w:val="Заголовок 5 Знак"/>
    <w:basedOn w:val="721"/>
    <w:link w:val="716"/>
    <w:uiPriority w:val="9"/>
    <w:rPr>
      <w:rFonts w:asciiTheme="majorHAnsi" w:hAnsiTheme="majorHAnsi" w:eastAsiaTheme="majorEastAsia" w:cstheme="majorBidi"/>
      <w:color w:val="243f60" w:themeColor="accent1" w:themeShade="7F"/>
    </w:rPr>
  </w:style>
  <w:style w:type="character" w:styleId="906" w:customStyle="1">
    <w:name w:val="Заголовок 6 Знак"/>
    <w:basedOn w:val="721"/>
    <w:link w:val="717"/>
    <w:uiPriority w:val="9"/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character" w:styleId="907" w:customStyle="1">
    <w:name w:val="Заголовок 7 Знак"/>
    <w:basedOn w:val="721"/>
    <w:link w:val="718"/>
    <w:uiPriority w:val="9"/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character" w:styleId="908" w:customStyle="1">
    <w:name w:val="Заголовок 8 Знак"/>
    <w:basedOn w:val="721"/>
    <w:link w:val="719"/>
    <w:uiPriority w:val="9"/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paragraph" w:styleId="909">
    <w:name w:val="No Spacing"/>
    <w:uiPriority w:val="1"/>
    <w:qFormat/>
    <w:pPr>
      <w:spacing w:after="0" w:line="240" w:lineRule="auto"/>
    </w:pPr>
  </w:style>
  <w:style w:type="paragraph" w:styleId="910" w:customStyle="1">
    <w:name w:val="Стиль"/>
    <w:pPr>
      <w:spacing w:after="0" w:line="240" w:lineRule="auto"/>
      <w:widowControl w:val="off"/>
    </w:pPr>
    <w:rPr>
      <w:rFonts w:ascii="Arial" w:hAnsi="Arial" w:cs="Arial" w:eastAsiaTheme="minorEastAsia"/>
      <w:sz w:val="24"/>
      <w:szCs w:val="24"/>
      <w:lang w:eastAsia="ru-RU"/>
    </w:rPr>
  </w:style>
  <w:style w:type="paragraph" w:styleId="911">
    <w:name w:val="footnote text"/>
    <w:basedOn w:val="711"/>
    <w:link w:val="912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912" w:customStyle="1">
    <w:name w:val="Текст сноски Знак"/>
    <w:basedOn w:val="721"/>
    <w:link w:val="911"/>
    <w:uiPriority w:val="99"/>
    <w:semiHidden/>
    <w:rPr>
      <w:sz w:val="20"/>
      <w:szCs w:val="20"/>
    </w:rPr>
  </w:style>
  <w:style w:type="character" w:styleId="913">
    <w:name w:val="footnote reference"/>
    <w:basedOn w:val="721"/>
    <w:uiPriority w:val="99"/>
    <w:semiHidden/>
    <w:unhideWhenUsed/>
    <w:rPr>
      <w:vertAlign w:val="superscript"/>
    </w:rPr>
  </w:style>
  <w:style w:type="character" w:styleId="914">
    <w:name w:val="Strong"/>
    <w:basedOn w:val="721"/>
    <w:uiPriority w:val="22"/>
    <w:qFormat/>
    <w:rPr>
      <w:b/>
      <w:bCs/>
    </w:rPr>
  </w:style>
  <w:style w:type="character" w:styleId="915">
    <w:name w:val="FollowedHyperlink"/>
    <w:basedOn w:val="721"/>
    <w:uiPriority w:val="99"/>
    <w:semiHidden/>
    <w:unhideWhenUsed/>
    <w:rPr>
      <w:color w:val="800080" w:themeColor="followedHyperlink"/>
      <w:u w:val="single"/>
    </w:rPr>
  </w:style>
  <w:style w:type="paragraph" w:styleId="916">
    <w:name w:val="Normal (Web)"/>
    <w:basedOn w:val="711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17">
    <w:name w:val="Body Text"/>
    <w:basedOn w:val="711"/>
    <w:link w:val="918"/>
    <w:uiPriority w:val="1"/>
    <w:qFormat/>
    <w:pPr>
      <w:jc w:val="both"/>
      <w:spacing w:after="0" w:line="240" w:lineRule="auto"/>
      <w:widowControl w:val="off"/>
    </w:pPr>
    <w:rPr>
      <w:rFonts w:ascii="Times New Roman" w:hAnsi="Times New Roman" w:eastAsia="Times New Roman" w:cs="Times New Roman"/>
      <w:sz w:val="28"/>
      <w:szCs w:val="28"/>
    </w:rPr>
  </w:style>
  <w:style w:type="character" w:styleId="918" w:customStyle="1">
    <w:name w:val="Основной текст Знак"/>
    <w:basedOn w:val="721"/>
    <w:link w:val="917"/>
    <w:uiPriority w:val="1"/>
    <w:rPr>
      <w:rFonts w:ascii="Times New Roman" w:hAnsi="Times New Roman" w:eastAsia="Times New Roman" w:cs="Times New Roman"/>
      <w:sz w:val="28"/>
      <w:szCs w:val="28"/>
    </w:rPr>
  </w:style>
  <w:style w:type="table" w:styleId="919" w:customStyle="1">
    <w:name w:val="Table Normal"/>
    <w:uiPriority w:val="2"/>
    <w:semiHidden/>
    <w:unhideWhenUsed/>
    <w:qFormat/>
    <w:pPr>
      <w:spacing w:after="0" w:line="240" w:lineRule="auto"/>
      <w:widowControl w:val="off"/>
    </w:pPr>
    <w:rPr>
      <w:lang w:val="en-US"/>
    </w:rPr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920" w:customStyle="1">
    <w:name w:val="Table Paragraph"/>
    <w:basedOn w:val="711"/>
    <w:uiPriority w:val="1"/>
    <w:qFormat/>
    <w:pPr>
      <w:spacing w:after="0" w:line="240" w:lineRule="auto"/>
      <w:widowControl w:val="off"/>
    </w:pPr>
    <w:rPr>
      <w:rFonts w:ascii="Times New Roman" w:hAnsi="Times New Roman" w:eastAsia="Times New Roman" w:cs="Times New Roman"/>
    </w:rPr>
  </w:style>
  <w:style w:type="paragraph" w:styleId="921">
    <w:name w:val="endnote text"/>
    <w:basedOn w:val="711"/>
    <w:link w:val="922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922" w:customStyle="1">
    <w:name w:val="Текст концевой сноски Знак"/>
    <w:basedOn w:val="721"/>
    <w:link w:val="921"/>
    <w:uiPriority w:val="99"/>
    <w:semiHidden/>
    <w:rPr>
      <w:sz w:val="20"/>
      <w:szCs w:val="20"/>
    </w:rPr>
  </w:style>
  <w:style w:type="character" w:styleId="923">
    <w:name w:val="endnote reference"/>
    <w:basedOn w:val="721"/>
    <w:uiPriority w:val="99"/>
    <w:semiHidden/>
    <w:unhideWhenUsed/>
    <w:rPr>
      <w:vertAlign w:val="superscript"/>
    </w:rPr>
  </w:style>
  <w:style w:type="table" w:styleId="924" w:customStyle="1">
    <w:name w:val="Сетка таблицы1"/>
    <w:basedOn w:val="722"/>
    <w:next w:val="88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Relationship Id="rId11" Type="http://schemas.openxmlformats.org/officeDocument/2006/relationships/chart" Target="charts/chart1.xml" /><Relationship Id="rId12" Type="http://schemas.openxmlformats.org/officeDocument/2006/relationships/hyperlink" Target="consultantplus://offline/ref=131CC43B81ECCCB612C55E389A691AD51CDB41F24D35CC9149329389DC7A974CAC93EE67B18C87AB3E5715D3D9EC5A816634EE8ACA4BvDxEI" TargetMode="External"/><Relationship Id="rId13" Type="http://schemas.openxmlformats.org/officeDocument/2006/relationships/hyperlink" Target="consultantplus://offline/ref=131CC43B81ECCCB612C55E389A691AD51CDB41F24D35CC9149329389DC7A974CAC93EE67B18382AB3E5715D3D9EC5A816634EE8ACA4BvDxEI" TargetMode="External"/><Relationship Id="rId14" Type="http://schemas.openxmlformats.org/officeDocument/2006/relationships/hyperlink" Target="consultantplus://offline/ref=131CC43B81ECCCB612C55E389A691AD51CDB41F24D35CC9149329389DC7A974CAC93EE67B18287AB3E5715D3D9EC5A816634EE8ACA4BvDxEI" TargetMode="External"/><Relationship Id="rId15" Type="http://schemas.openxmlformats.org/officeDocument/2006/relationships/hyperlink" Target="consultantplus://offline/ref=131CC43B81ECCCB612C55E389A691AD51CDB41F24D35CC9149329389DC7A974CAC93EE67B18286AB3E5715D3D9EC5A816634EE8ACA4BvDxEI" TargetMode="External"/><Relationship Id="rId16" Type="http://schemas.openxmlformats.org/officeDocument/2006/relationships/hyperlink" Target="consultantplus://offline/ref=131CC43B81ECCCB612C55E389A691AD51CDB41F24D35CC9149329389DC7A974CAC93EE64B08E86AB3E5715D3D9EC5A816634EE8ACA4BvDxEI" TargetMode="External"/><Relationship Id="rId17" Type="http://schemas.openxmlformats.org/officeDocument/2006/relationships/hyperlink" Target="consultantplus://offline/ref=131CC43B81ECCCB612C55E389A691AD51CDB41F24D35CC9149329389DC7A974CAC93EE64B08E89AB3E5715D3D9EC5A816634EE8ACA4BvDxEI" TargetMode="External"/><Relationship Id="rId18" Type="http://schemas.openxmlformats.org/officeDocument/2006/relationships/chart" Target="charts/chart2.xml" /><Relationship Id="rId19" Type="http://schemas.openxmlformats.org/officeDocument/2006/relationships/hyperlink" Target="http://gsn.nso.ru/page/328" TargetMode="External"/><Relationship Id="rId20" Type="http://schemas.openxmlformats.org/officeDocument/2006/relationships/hyperlink" Target="https://gsn.nso.ru/page/550" TargetMode="External"/><Relationship Id="rId21" Type="http://schemas.openxmlformats.org/officeDocument/2006/relationships/hyperlink" Target="https://gsn.nso.ru/page/550" TargetMode="External"/><Relationship Id="rId22" Type="http://schemas.openxmlformats.org/officeDocument/2006/relationships/hyperlink" Target="https://gsn.nso.ru/page/549" TargetMode="External"/><Relationship Id="rId23" Type="http://schemas.openxmlformats.org/officeDocument/2006/relationships/hyperlink" Target="https://gsn.nso.ru/news" TargetMode="External"/><Relationship Id="rId24" Type="http://schemas.openxmlformats.org/officeDocument/2006/relationships/hyperlink" Target="https://gsn.nso.ru/page/338" TargetMode="External"/><Relationship Id="rId25" Type="http://schemas.openxmlformats.org/officeDocument/2006/relationships/hyperlink" Target="http://gsn.nso.ru/page/329" TargetMode="External"/><Relationship Id="rId26" Type="http://schemas.openxmlformats.org/officeDocument/2006/relationships/hyperlink" Target="https://gsn.nso.ru/page/994" TargetMode="External"/><Relationship Id="rId27" Type="http://schemas.openxmlformats.org/officeDocument/2006/relationships/hyperlink" Target="http://gsn.nso.ru/page/550" TargetMode="External"/><Relationship Id="rId28" Type="http://schemas.openxmlformats.org/officeDocument/2006/relationships/hyperlink" Target="consultantplus://offline/ref=9ACAA89C6FF58C33776267CAD813686974829EFE2BEBB854C524F083A7349DB9E6BF8B5B80C72015E2BA0D6973903742AEDF24DC257EB02352s0I" TargetMode="External"/><Relationship Id="rId29" Type="http://schemas.openxmlformats.org/officeDocument/2006/relationships/hyperlink" Target="consultantplus://offline/ref=EB006101695F2B23AD12D888E441C2D4BF6218307AC6885FC237AA3F354899776209D5D7620560938F1A7C982DCA024415EAB4A6E379oAQ6B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themeOverride" Target="../theme/themeOverride1.xml" /><Relationship Id="rId2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themeOverride" Target="../theme/themeOverride1.xml" /><Relationship Id="rId2" Type="http://schemas.openxmlformats.org/officeDocument/2006/relationships/package" Target="../embeddings/Microsoft_Excel_Worksheet2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100">
                <a:latin typeface="Times New Roman"/>
                <a:cs typeface="Times New Roman"/>
              </a:defRPr>
            </a:pPr>
            <a:r>
              <a:rPr lang="ru-RU" sz="1100" b="1" i="0">
                <a:latin typeface="Times New Roman"/>
                <a:cs typeface="Times New Roman"/>
              </a:rPr>
              <a:t>Рисунок 1. Распределение  объектов государственного надзора по категориям риска по состоянию </a:t>
            </a:r>
            <a:r>
              <a:rPr lang="ru-RU" sz="1100" b="1" i="0">
                <a:solidFill>
                  <a:sysClr val="windowText" lastClr="000000"/>
                </a:solidFill>
                <a:latin typeface="Times New Roman"/>
                <a:cs typeface="Times New Roman"/>
              </a:rPr>
              <a:t>на 01.07.2024</a:t>
            </a:r>
            <a:endParaRPr lang="ru-RU" sz="1100">
              <a:solidFill>
                <a:sysClr val="windowText" lastClr="000000"/>
              </a:solidFill>
              <a:highlight>
                <a:srgbClr val="FFFF00"/>
              </a:highlight>
              <a:latin typeface="Times New Roman"/>
              <a:cs typeface="Times New Roman"/>
            </a:endParaRPr>
          </a:p>
        </c:rich>
      </c:tx>
      <c:layout>
        <c:manualLayout>
          <c:xMode val="edge"/>
          <c:yMode val="edge"/>
          <c:x val="0.092520"/>
          <c:y val="0.041130"/>
        </c:manualLayout>
      </c:layout>
      <c:overlay val="0"/>
      <c:spPr bwMode="auto">
        <a:prstGeom prst="rect">
          <a:avLst/>
        </a:prstGeom>
        <a:ln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096180"/>
          <c:y val="0.311220"/>
          <c:w val="0.632910"/>
          <c:h val="0.640070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Высокий риск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 xml:space="preserve">Категория 1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764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Значительный риск</c:v>
                </c:pt>
              </c:strCache>
            </c:strRef>
          </c:tx>
          <c:invertIfNegative val="0"/>
          <c:dLbls>
            <c:dLbl>
              <c:idx val="0"/>
              <c:dLblPos val="outEnd"/>
              <c:layout>
                <c:manualLayout>
                  <c:x val="0.001310"/>
                  <c:y val="0.053140"/>
                </c:manualLayout>
              </c:layout>
              <c:showBubbleSize val="0"/>
              <c:showCatName val="0"/>
              <c:showLegendKey val="0"/>
              <c:showPercent val="0"/>
              <c:showSerName val="0"/>
              <c:showVal val="1"/>
            </c:dLbl>
            <c:dLblPos val="ctr"/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Лист1!$A$2</c:f>
              <c:strCache>
                <c:ptCount val="1"/>
                <c:pt idx="0">
                  <c:v xml:space="preserve">Категория 1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61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Низкий риск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 xml:space="preserve">Категория 1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196</c:v>
                </c:pt>
              </c:numCache>
            </c:numRef>
          </c:val>
        </c:ser>
        <c:dLbls>
          <c:dLblPos val="ctr"/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150"/>
        <c:axId val="121385344"/>
        <c:axId val="121386880"/>
      </c:barChart>
      <c:catAx>
        <c:axId val="121385344"/>
        <c:scaling>
          <c:orientation val="minMax"/>
        </c:scaling>
        <c:delete val="1"/>
        <c:axPos val="b"/>
        <c:majorTickMark val="out"/>
        <c:minorTickMark val="none"/>
        <c:tickLblPos val="nextTo"/>
        <c:crossAx val="121386880"/>
        <c:crosses val="autoZero"/>
        <c:auto val="1"/>
        <c:lblAlgn val="ctr"/>
        <c:lblOffset val="100"/>
        <c:noMultiLvlLbl val="0"/>
      </c:catAx>
      <c:valAx>
        <c:axId val="121386880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121385344"/>
        <c:crosses val="autoZero"/>
        <c:crossBetween val="between"/>
      </c:valAx>
      <c:spPr bwMode="auto">
        <a:prstGeom prst="rect">
          <a:avLst/>
        </a:prstGeom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lang="ru-RU" sz="1200" b="1" i="0" u="none" strike="noStrike">
                <a:solidFill>
                  <a:sysClr val="windowText" lastClr="000000"/>
                </a:solidFill>
                <a:latin typeface="Times New Roman"/>
                <a:ea typeface="+mn-ea"/>
                <a:cs typeface="Times New Roman"/>
              </a:defRPr>
            </a:pPr>
            <a:r>
              <a:rPr lang="ru-RU" sz="1200" b="1" i="0" u="none" strike="noStrike">
                <a:solidFill>
                  <a:sysClr val="windowText" lastClr="000000"/>
                </a:solidFill>
                <a:latin typeface="Times New Roman"/>
                <a:ea typeface="Arial"/>
                <a:cs typeface="Times New Roman"/>
              </a:rPr>
              <a:t>Рисунок  2. </a:t>
            </a:r>
            <a:r>
              <a:rPr lang="ru-RU" sz="1200" b="1" i="0" u="none" strike="noStrike"/>
              <a:t>Динамика применения административного наказания в виде предупреждения за 6 месяцев в 2024, 2023, 2022 г.г</a:t>
            </a:r>
            <a:endParaRPr lang="ru-RU" sz="1200" b="1" i="0" u="none" strike="noStrike">
              <a:solidFill>
                <a:sysClr val="windowText" lastClr="000000"/>
              </a:solidFill>
              <a:latin typeface="Times New Roman"/>
              <a:ea typeface="Arial"/>
              <a:cs typeface="Times New Roman"/>
            </a:endParaRPr>
          </a:p>
        </c:rich>
      </c:tx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Лист1!$C$73</c:f>
              <c:strCache>
                <c:ptCount val="1"/>
                <c:pt idx="0">
                  <c:v>Инспекция</c:v>
                </c:pt>
              </c:strCache>
            </c:strRef>
          </c:tx>
          <c:invertIfNegative val="0"/>
          <c:cat>
            <c:numRef>
              <c:f>Лист1!$D$72:$F$72</c:f>
              <c:numCache>
                <c:formatCode>General</c:formatCode>
                <c:ptCount val="3"/>
                <c:pt idx="0">
                  <c:v>2024</c:v>
                </c:pt>
                <c:pt idx="1">
                  <c:v>2023</c:v>
                </c:pt>
                <c:pt idx="2">
                  <c:v>2022</c:v>
                </c:pt>
              </c:numCache>
            </c:numRef>
          </c:cat>
          <c:val>
            <c:numRef>
              <c:f>Лист1!$D$73:$F$73</c:f>
              <c:numCache>
                <c:formatCode>General</c:formatCode>
                <c:ptCount val="3"/>
                <c:pt idx="0">
                  <c:v>143</c:v>
                </c:pt>
                <c:pt idx="1">
                  <c:v>136</c:v>
                </c:pt>
                <c:pt idx="2">
                  <c:v>158</c:v>
                </c:pt>
              </c:numCache>
            </c:numRef>
          </c:val>
        </c:ser>
        <c:ser>
          <c:idx val="1"/>
          <c:order val="1"/>
          <c:tx>
            <c:strRef>
              <c:f>Лист1!$C$74</c:f>
              <c:strCache>
                <c:ptCount val="1"/>
                <c:pt idx="0">
                  <c:v xml:space="preserve">Суды Новосибирской области</c:v>
                </c:pt>
              </c:strCache>
            </c:strRef>
          </c:tx>
          <c:invertIfNegative val="0"/>
          <c:cat>
            <c:numRef>
              <c:f>Лист1!$D$72:$F$72</c:f>
              <c:numCache>
                <c:formatCode>General</c:formatCode>
                <c:ptCount val="3"/>
                <c:pt idx="0">
                  <c:v>2024</c:v>
                </c:pt>
                <c:pt idx="1">
                  <c:v>2023</c:v>
                </c:pt>
                <c:pt idx="2">
                  <c:v>2022</c:v>
                </c:pt>
              </c:numCache>
            </c:numRef>
          </c:cat>
          <c:val>
            <c:numRef>
              <c:f>Лист1!$D$74:$F$74</c:f>
              <c:numCache>
                <c:formatCode>General</c:formatCode>
                <c:ptCount val="3"/>
                <c:pt idx="0">
                  <c:v>2</c:v>
                </c:pt>
                <c:pt idx="1">
                  <c:v>0</c:v>
                </c:pt>
                <c:pt idx="2">
                  <c:v>2</c:v>
                </c:pt>
              </c:numCache>
            </c:numRef>
          </c:val>
        </c:ser>
        <c:dLbls>
          <c:dLblPos val="ctr"/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150"/>
        <c:axId val="25067520"/>
        <c:axId val="25069056"/>
      </c:barChart>
      <c:catAx>
        <c:axId val="250675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25069056"/>
        <c:crosses val="autoZero"/>
        <c:auto val="1"/>
        <c:lblAlgn val="ctr"/>
        <c:lblOffset val="100"/>
        <c:noMultiLvlLbl val="0"/>
      </c:catAx>
      <c:valAx>
        <c:axId val="25069056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2506752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 xmlns:r="http://schemas.openxmlformats.org/officeDocument/2006/relationships" xmlns:p="http://schemas.openxmlformats.org/presentation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Arial"/>
      <a:cs typeface="Arial"/>
    </a:majorFont>
    <a:minorFont>
      <a:latin typeface="Calibri"/>
      <a:ea typeface="Arial"/>
      <a:cs typeface="Arial"/>
    </a:minorFont>
  </a:fontScheme>
  <a:fmtScheme name="Стандартная">
    <a:fillStyleLst>
      <a:solidFill>
        <a:schemeClr val="phClr"/>
      </a:solidFill>
      <a:gradFill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</a:effectStyleLst>
    <a:bgFillStyleLst>
      <a:solidFill>
        <a:schemeClr val="phClr"/>
      </a:solidFill>
      <a:gradFill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/>
      </a:gradFill>
      <a:gradFill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/>
      </a:gradFill>
    </a:bgFillStyleLst>
  </a:fmtScheme>
</a:themeOverrid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C0D35F9-D3D8-4C5F-8ADF-11CBD896CE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Белокопытова Наталья Михайловна</dc:creator>
  <cp:revision>10</cp:revision>
  <dcterms:created xsi:type="dcterms:W3CDTF">2024-09-18T05:26:00Z</dcterms:created>
  <dcterms:modified xsi:type="dcterms:W3CDTF">2024-09-24T04:06:47Z</dcterms:modified>
</cp:coreProperties>
</file>