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</w:rPr>
              <w:t xml:space="preserve">ПРОЕКТ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инспекции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2024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  <w:lang w:val="en-US"/>
        </w:rPr>
        <w:t xml:space="preserve">I</w:t>
      </w:r>
      <w:r>
        <w:rPr>
          <w:rFonts w:ascii="Times New Roman" w:hAnsi="Times New Roman" w:cs="Times New Roman"/>
          <w:color w:val="auto"/>
        </w:rPr>
        <w:t xml:space="preserve">. Общие положения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о результатах обобщения и анализа правоприменительной практики контрольно-надзорной деятельности инспекции государственного строительного надзора Новосибирской области (далее – инспекция) при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регионального государственного строительного надзора подготовлен в соответствии со статьей 47 Федерального закона от 31.07.2020 № 248-ФЗ «О государственном контроле (надзоре) и муниципальном контроле в Российской Федерации» (далее –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31.07.2020 № 248-ФЗ), п. 14 Положения о региональном государственном строительном надзоре на территории Новосибирской области, утвержденного постановлением Правительства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26.10.2021 № 435-п (далее – Положение).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</w:t>
      </w:r>
      <w:r>
        <w:rPr>
          <w:rFonts w:ascii="Times New Roman" w:hAnsi="Times New Roman" w:cs="Times New Roman"/>
          <w:sz w:val="28"/>
          <w:szCs w:val="28"/>
        </w:rPr>
        <w:br/>
        <w:t xml:space="preserve">№ 342-п, инспекция является областным исполнительным органом государственной власти Новосибирской области, уполномоченным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регионального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Градостроительным кодексом Российской Федерации (далее – ГрК РФ).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5 Положения установлено, что объектами регионального государственного строительного надзора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контролируемые лица),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строительству, реконструкции объектов капитального строительства, указанных в части 11 статьи 54 ГрК РФ, в случаях, установленных частями 1 и 2 статьи 54 ГрК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объекты капитального строительства, которыми граждане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организации владеют и (или) пользуются и которые указаны в части 11 статьи 54 ГрК РФ, в случаях, установленных частями 1 и 2 статьи 54 ГрК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инспекцией регионального государственного строительного надзора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застройщик: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16 статьи 1 ГрК РФ –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Государственная корпорация по космической деятельности «Роскосмос», органы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13.3 Федерального закона от 29 июля 2017 года № 218-ФЗ «О публично-правовой компании «Фонд развития территорий» </w:t>
      </w:r>
      <w:r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</w:t>
      </w:r>
      <w:r>
        <w:rPr>
          <w:rFonts w:ascii="Times New Roman" w:hAnsi="Times New Roman" w:cs="Times New Roman"/>
          <w:sz w:val="28"/>
          <w:szCs w:val="28"/>
        </w:rPr>
        <w:t xml:space="preserve">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технический заказчик: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22 статьи 1 ГрК РФ – юридическое лицо, которое упо</w:t>
      </w:r>
      <w:r>
        <w:rPr>
          <w:rFonts w:ascii="Times New Roman" w:hAnsi="Times New Roman" w:cs="Times New Roman"/>
          <w:sz w:val="28"/>
          <w:szCs w:val="28"/>
        </w:rPr>
        <w:t xml:space="preserve">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выполнение ука</w:t>
      </w:r>
      <w:r>
        <w:rPr>
          <w:rFonts w:ascii="Times New Roman" w:hAnsi="Times New Roman" w:cs="Times New Roman"/>
          <w:sz w:val="28"/>
          <w:szCs w:val="28"/>
        </w:rPr>
        <w:t xml:space="preserve">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о градостроительной деятельности (далее также –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оектирования, строительства, реконструкции, капитального ремонта, сноса объектов капитального строительства, за исключением случаев, предусмотренных частью 2.1 статьи 47, частью 4.1 статьи 48, частями 2.1 и 2.2 статьи 52, частями 5 и 6 статьи 55.31 ГрК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лицо, осуществляющее строительство, реконструкцию, капитальный ремонт объекта капитального строительства (далее – лицо, осуществляющее строительство):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52 ГрК РФ лицом, осуществляющим строительство, может являться застройщик либо индивидуальный предприниматель и</w:t>
      </w:r>
      <w:r>
        <w:rPr>
          <w:rFonts w:ascii="Times New Roman" w:hAnsi="Times New Roman" w:cs="Times New Roman"/>
          <w:sz w:val="28"/>
          <w:szCs w:val="28"/>
        </w:rPr>
        <w:t xml:space="preserve">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ГрК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государственного строительного надзора установлены статьей 54 ГрК РФ,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 248-ФЗ</w:t>
      </w:r>
      <w:r>
        <w:rPr>
          <w:rFonts w:ascii="Times New Roman" w:hAnsi="Times New Roman" w:cs="Times New Roman"/>
          <w:sz w:val="28"/>
          <w:szCs w:val="28"/>
        </w:rPr>
        <w:t xml:space="preserve">, Положением.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в соответствии с частью 1 статьи 54 ГрК РФ осуществляется: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строительстве объектов капитального строительства, проектная документация которых подлежит экспертизе в соответствии со статьей 49 ГрК РФ, за исключением случая, предусмотренного частью 3.3 статьи 49 ГрК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безопасности таких объектов, если проектная документация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реконструкции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 статьи 49 ГрК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ведет реестр объектов капитального строительства, указанных в части 1 статьи 54 ГрК РФ, в отношении которых осуществляет региональный государственный строительный надзор.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посредством размещения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инспекции в сети «Интернет» следующей информации о строящихся, реконструируемых объектах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наименование, адрес и этап строительства, реконструкции строящегося, реконструируемого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реквизиты (дата и номер) разрешения на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полное наименование юридического лица либо фамилия, имя </w:t>
      </w:r>
      <w:r>
        <w:rPr>
          <w:rFonts w:ascii="Times New Roman" w:hAnsi="Times New Roman" w:cs="Times New Roman"/>
          <w:sz w:val="28"/>
          <w:szCs w:val="28"/>
        </w:rPr>
        <w:br/>
        <w:t xml:space="preserve">и отчество (при наличии) физического лица, в том числе индивидуального предпринимателя, являющихся застройщиками;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полное наименование юридического лица – технического заказчика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полное наименование юридического лица либо фамилия, имя </w:t>
      </w:r>
      <w:r>
        <w:rPr>
          <w:rFonts w:ascii="Times New Roman" w:hAnsi="Times New Roman" w:cs="Times New Roman"/>
          <w:sz w:val="28"/>
          <w:szCs w:val="28"/>
        </w:rPr>
        <w:br/>
        <w:t xml:space="preserve">и отчество (при наличии) индивидуального предпринимателя, осуществляющих строительный контроль на основании договора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застройщиком (техническим заказчиком) 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при строительстве, реконструкции объекта капитального строительства не осуществляется региональный государственный строительный надзор, такой объект капитального строительства исключается из реестра.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 ГрК РФ законодатель привел основания, указанные в Федеральном законе от 31.07.2020 № 248-ФЗ, при наличии которых осуществляется государственный строительный надзор в отношении объектов, не указанных в части 1 статьи 54 ГрК РФ.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01.01.2025 инспекция осуществляла региональный государственный строительный надзор в отношении 958 объектов капитального строительства и реконструкции,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- 450 многоквартирных жилых домов;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- 30 объектов учебно-воспитательного назначения;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- 29 объектов здравоохранения и социального обслуживания;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- 31 объект для культурно-досуговой деятельности населения;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- 31 гостиница;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- 37 зданий общественного и административного назначения;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- 24 здания торговли и общественного питания;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- 111 зданий и сооружений производственного и складского назначения;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- 25 объектов инженерного обеспечения и связи, из них 13 скважин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водозаборов;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- 30 объектов транспортной инфраструктуры, в том числе 28 подземных и надземных открытых автостоянок и гаражных комплексов;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- 31 объект энергетики;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- 90 линейных объектов, в том числе: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1 газопровод;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34 объекта сетей водопровода и канализации;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US"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47 автодорог, общей протяженностью 63,297 км; </w:t>
      </w:r>
      <w:r>
        <w:rPr>
          <w:rFonts w:ascii="Times New Roman" w:hAnsi="Times New Roman" w:eastAsia="Times New Roman" w:cs="Times New Roman"/>
          <w:sz w:val="20"/>
          <w:szCs w:val="20"/>
          <w:lang w:val="en-US"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8 автомобильных и пешеходных мостов;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- 39 прочих объектов.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 капитального строительства, указанных в части 1 статьи 54 ГрК РФ, является соблюдение: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Соответствия выполняемых работ и применяемых строительных материалов и изделий в</w:t>
      </w:r>
      <w:r>
        <w:rPr>
          <w:rFonts w:ascii="Times New Roman" w:hAnsi="Times New Roman" w:cs="Times New Roman"/>
          <w:sz w:val="28"/>
          <w:szCs w:val="28"/>
        </w:rPr>
        <w:t xml:space="preserve">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ГрК РФ проектной документации (в том числе с учетом изменений, внесенных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рабочую документацию и являющихся в соответствии с частью 1.3 статьи </w:t>
      </w:r>
      <w:r>
        <w:rPr>
          <w:rFonts w:ascii="Times New Roman" w:hAnsi="Times New Roman" w:cs="Times New Roman"/>
          <w:sz w:val="28"/>
          <w:szCs w:val="28"/>
        </w:rPr>
        <w:t xml:space="preserve">52 ГрК РФ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ГрК РФ);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Требования наличия разрешения на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Требований, установленных частями 2 и 3.1 статьи 52 ГрК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Требований, установленных частью 4 статьи 52 ГрК РФ, </w:t>
      </w:r>
      <w:r>
        <w:rPr>
          <w:rFonts w:ascii="Times New Roman" w:hAnsi="Times New Roman" w:cs="Times New Roman"/>
          <w:sz w:val="28"/>
          <w:szCs w:val="28"/>
        </w:rPr>
        <w:br/>
        <w:t xml:space="preserve">к обеспечению консервации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Требований к порядку осуществления строительного контроля, установленных ГрК РФ, иными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ГрК РФ, является соблюдение: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Требований наличия разрешения на строительство и соответствия объекта капитального строительства параметрам, указанным в разрешении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строительство, если разрешение на строительство требуется для строительства или реконструкции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>
        <w:rPr>
          <w:rFonts w:ascii="Times New Roman" w:hAnsi="Times New Roman" w:cs="Times New Roman"/>
          <w:sz w:val="28"/>
          <w:szCs w:val="28"/>
        </w:rPr>
        <w:br/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бязательным требованиям к параметрам объектов капитального строительства, установленным указанным Кодексом,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осуществляется посредством организации и проведения контрольных (надзорных) мероприятий в отношении контролируемых лиц, без проведения плановых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jc w:val="center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96"/>
        <w:jc w:val="center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  <w:lang w:val="en-US"/>
        </w:rPr>
        <w:t xml:space="preserve">II</w:t>
      </w:r>
      <w:r>
        <w:rPr>
          <w:rFonts w:ascii="Times New Roman" w:hAnsi="Times New Roman" w:cs="Times New Roman"/>
          <w:color w:val="auto"/>
        </w:rPr>
        <w:t xml:space="preserve">. Правоприменительная практика при осуществлении регионального государственного строительного надзора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Профилактические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при осуществлении регионального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строительного надзора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при осуществлении регионального государственного строительного надзора проводит профилактические мероприятия,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снижение риска причинения вреда (ущерба). Они являются приоритетными по отношению к проведению контрольных (надзорных) мероприятий. Поэтому в 2024 году работе по профилактике рисков причинения вреда (ущерба) охраняемым законом ценностям было уделено бол</w:t>
      </w:r>
      <w:r>
        <w:rPr>
          <w:rFonts w:ascii="Times New Roman" w:hAnsi="Times New Roman" w:cs="Times New Roman"/>
          <w:sz w:val="28"/>
          <w:szCs w:val="28"/>
        </w:rPr>
        <w:t xml:space="preserve">ьшое внимание. Усилению роли профилактических мероприятий способствовало продление на 2024 год моратория на проведение отдельных видов контрольных (надзорных) мероприятий, установленного постановлением Правительства РФ от 10.03.2022 № 336 «Об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государственного контроля (надзора), муниципального контроля».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11 Положения при осуществлении регионального государственного строительного надзора проводятся следующие виды профилактических мероприятий: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со статьей 46 Федерального закона от 31.07.2020 № 248-ФЗ, пунктом 13 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государственной тайне и об иной охраняемой законом тайне посредством ра</w:t>
      </w:r>
      <w:r>
        <w:rPr>
          <w:rFonts w:ascii="Times New Roman" w:hAnsi="Times New Roman" w:cs="Times New Roman"/>
          <w:sz w:val="28"/>
          <w:szCs w:val="28"/>
        </w:rPr>
        <w:t xml:space="preserve">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инспекции размещен полный объем информации, предусмотренный Федеральным законом от 31.07.2020 № 248-ФЗ. В разделе сайта инспекции «контрольно-надзорная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ельность» дополнительно создан и поддерживается в актуальном состоянии подраздел «информация для контролируемых лиц», где размещается информация по вопросам градостроительной деятельности, осуществления регионального государственного строительного надзора.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информирования в 2024 году было проведено 2 публичных мероприятия (в формате дня открытых дверей и семинара), участие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которых приняли более 150 представителей контролируемых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47 Федерального закона от 31.07.2020 № 248-ФЗ, пунктом 14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сети «Интернет» не позднее 15 марта года, следующего за отчетным.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в соответствии с частью 3 статьи 47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31.07.2020 № 248-ФЗ обеспечивает публичное обсуждение проекта доклада, содержащего результаты обобщения правоприменительной практики.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49 Федерального закона от 31.07.2020 № 248-ФЗ, пунктами 16 - 20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у контрольного (надзорного) органа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</w:r>
      <w:r>
        <w:rPr>
          <w:rFonts w:ascii="Times New Roman" w:hAnsi="Times New Roman" w:cs="Times New Roman"/>
          <w:sz w:val="28"/>
          <w:szCs w:val="28"/>
        </w:rPr>
        <w:t xml:space="preserve">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предлагает принять меры по обеспечению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</w:t>
      </w:r>
      <w:r>
        <w:rPr>
          <w:rFonts w:ascii="Times New Roman" w:hAnsi="Times New Roman" w:cs="Times New Roman"/>
          <w:sz w:val="28"/>
          <w:szCs w:val="28"/>
        </w:rPr>
        <w:t xml:space="preserve">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 248-ФЗ, и должно содержать указание на соответствующие обязательные требования, предусматривающий их </w:t>
      </w:r>
      <w:r>
        <w:rPr>
          <w:rFonts w:ascii="Times New Roman" w:hAnsi="Times New Roman" w:cs="Times New Roman"/>
          <w:sz w:val="28"/>
          <w:szCs w:val="28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Times New Roman" w:hAnsi="Times New Roman" w:cs="Times New Roman"/>
          <w:sz w:val="28"/>
          <w:szCs w:val="28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лицо, получившее предостережение о недопустимости нарушения обязательных требований, вправе подать в инспекцию возражения. Во</w:t>
      </w:r>
      <w:r>
        <w:rPr>
          <w:rFonts w:ascii="Times New Roman" w:hAnsi="Times New Roman" w:cs="Times New Roman"/>
          <w:sz w:val="28"/>
          <w:szCs w:val="28"/>
        </w:rPr>
        <w:t xml:space="preserve">зражения подаются на бумажном носителе,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инспекцию в течение 15 рабочих дней со дня получения такого предостережения.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инспекция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 удовлетворении возражения и отмене объявленного предостережения;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 отказе в удовлетворении возражения.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рассмотрения возражения, направляется инспекцией контролируемому</w:t>
      </w:r>
      <w:r>
        <w:rPr>
          <w:rFonts w:ascii="Times New Roman" w:hAnsi="Times New Roman" w:cs="Times New Roman"/>
          <w:sz w:val="28"/>
          <w:szCs w:val="28"/>
        </w:rPr>
        <w:t xml:space="preserve"> лицу на бумажном носителе почтовым отправлением или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течение 20 рабочих дней со дня получения возражения.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направление возражения по тем же основаниям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Инспекцией в 2024 году объявлено 403 предостережения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недопустимости нарушения обязательных требований. Это на 11 % больше, чем в 2023 году, когда было выдано 362 предостережения.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инспекции приказом от 11.12.2024 № 70 утвержден порядок объявления предостережения о недопустимости нарушения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требований, а также формы принимаемых решений по результатам рассмотрения возражений на предостережения.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2024 года посредством ГИС ТОР КНД реализован функционал подачи возражений на предостережения через Единый портал государственных и муниципальных услуг (функций) (далее – ЕПГУ).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инспектором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50 Федерального закона от 31.07.2020 № 248-ФЗ, пунктами 22 - 24 Положения по телефону, на личном приеме либо в ходе проведения профилактического мероприятия или контрольного (надзорного) мероприятия.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пяти и более однотипных обр</w:t>
      </w:r>
      <w:r>
        <w:rPr>
          <w:rFonts w:ascii="Times New Roman" w:hAnsi="Times New Roman" w:cs="Times New Roman"/>
          <w:sz w:val="28"/>
          <w:szCs w:val="28"/>
        </w:rPr>
        <w:t xml:space="preserve">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«Интернет» письменного разъяснения, подписанного начальником (заместителем начальника) инспекции.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вопросам, связанным с организацией и осуществлением регионального государственного строительного надзора;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вопросам, связанным с порядком обжалования действий (бездействия) должностных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вопросам, связанным с организацией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осуществлением регионального государственного 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надзора,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законом от 02.05.2006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специалистами инспекции были проведены 1662 консультации, что на 60 % меньше, чем в 202</w:t>
      </w:r>
      <w:r>
        <w:rPr>
          <w:rFonts w:ascii="Times New Roman" w:hAnsi="Times New Roman" w:cs="Times New Roman"/>
          <w:sz w:val="28"/>
          <w:szCs w:val="28"/>
        </w:rPr>
        <w:t xml:space="preserve">3 году (в 2023 году было проведено 2664 консультации). Снижение количества консультаций связано с тем, что состав обязательных требований по государственному строительному надзору стабилен, их количество невелико и все основные вопросы их применения сняты.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2024 года для контролируемых лиц реализована возможность под</w:t>
      </w:r>
      <w:r>
        <w:rPr>
          <w:rFonts w:ascii="Times New Roman" w:hAnsi="Times New Roman" w:cs="Times New Roman"/>
          <w:sz w:val="28"/>
          <w:szCs w:val="28"/>
        </w:rPr>
        <w:t xml:space="preserve">ачи через ЕПГУ заявления на консультирование. Подача заявления осуществляется с помощью интерактивной формы в личном кабинете на портале «Госуслуги». Заявления рассматриваются контрольными (надзорными) органами в модуле досудебного обжалования ГИС ТОР КНД.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профилактический визит: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в 2024 году осуществлялся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52 Федерального закона от 31.07.2020 № 248-ФЗ и пунктами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25 - 25.5 Положения.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инспекции приказом от 22.03.2024 № 14 были разработаны и утверждены основные требования к проведению профилактического визита.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проводился на основании решения, которым определялась форма его проведения: в форме профилактической беседы </w:t>
        <w:br/>
        <w:t xml:space="preserve">по месту осуществления деятельности контролируемого лица или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обязательного профилактического визита было предусмотрено в отношении контролируемых лиц, приступающих </w:t>
        <w:br/>
        <w:t xml:space="preserve">к осуществлению строительства, реконструкции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профилактического визита по инициативе инспектора осуществлялось, в том числе при наличии следующих обстоятельств: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после повторного (в течении года) привлечения к административной ответственности, предусмотренной статьей 9.4 КоАП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перед итоговой проверкой;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отношении застройщиков (при отсутствии технического заказчика), для которых строительная деятельность не является основной;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на особо значимых объектах (выполняемых по нацпроектам, госпрограммам, концессиям и т.п.).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контролируемого лица в инспекцию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него профилактического визита указанное заявление рассматривалось в течение десяти рабочих дней с даты регистрации заявления и принималось решение о проведении профилактического визита либо об отказе в его проведении.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инспекцией проведено 342 профилактических визита,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на 20 % меньше, чем в 2023 году (в 2023 году было проведено </w:t>
      </w:r>
      <w:r>
        <w:rPr>
          <w:rFonts w:ascii="Times New Roman" w:hAnsi="Times New Roman" w:cs="Times New Roman"/>
          <w:sz w:val="28"/>
          <w:szCs w:val="28"/>
        </w:rPr>
        <w:br/>
        <w:t xml:space="preserve">410 профилактических визитов).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 проведения профилактических визитов в 2024 году отказались </w:t>
      </w:r>
      <w:r>
        <w:rPr>
          <w:rFonts w:ascii="Times New Roman" w:hAnsi="Times New Roman" w:cs="Times New Roman"/>
          <w:sz w:val="28"/>
          <w:szCs w:val="28"/>
        </w:rPr>
        <w:br/>
        <w:t xml:space="preserve">15 контролируемых лиц или 4,4 %. В 2024 году было проведено </w:t>
      </w:r>
      <w:r>
        <w:rPr>
          <w:rFonts w:ascii="Times New Roman" w:hAnsi="Times New Roman" w:cs="Times New Roman"/>
          <w:sz w:val="28"/>
          <w:szCs w:val="28"/>
        </w:rPr>
        <w:br/>
        <w:t xml:space="preserve">6 профилактических визитов по инициативе контролируемых 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 Основания для проведения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в 2024 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капитального строительства, указанных в части 1 статьи 54 ГрК РФ, осуществлялся по основаниям, предусмотренным пунктами 1, 3 - 6 части 1 статьи 57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 248-ФЗ, с учетом особенностей, установленных постановлением Правительства РФ от 10.03.2022 № 336 «</w:t>
      </w:r>
      <w:r>
        <w:rPr>
          <w:rFonts w:ascii="Times New Roman" w:hAnsi="Times New Roman" w:cs="Times New Roman"/>
          <w:sz w:val="28"/>
          <w:szCs w:val="28"/>
        </w:rPr>
        <w:t xml:space="preserve">Об особенностях организации </w:t>
        <w:br/>
        <w:t xml:space="preserve">и осуществления государственного контроля (н</w:t>
      </w:r>
      <w:r>
        <w:rPr>
          <w:rFonts w:ascii="Times New Roman" w:hAnsi="Times New Roman" w:cs="Times New Roman"/>
          <w:sz w:val="28"/>
          <w:szCs w:val="28"/>
        </w:rPr>
        <w:t xml:space="preserve">адзора), муниципального контроля» (далее – Постановление от 10.03.2022 № 336):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при условии согласования с органами прокуратуры: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при выявлении индикаторов риска нарушения обязательных требований;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</w:t>
      </w:r>
      <w:r/>
    </w:p>
    <w:p>
      <w:pPr>
        <w:contextualSpacing/>
        <w:ind w:firstLine="709"/>
        <w:jc w:val="both"/>
        <w:spacing w:after="0" w:line="240" w:lineRule="auto"/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без согласования с органами прокуратуры: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по требованию прокурора в рамках надзора за исполнением законов, соблюдением прав и свобод человека и гражданина по поступившим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органы прокуратуры материалам и обращениям;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при наступлении события,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программе проверок;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срока исполнения предписания об устранении выявленного нарушения обязательных требований, которое выдано после 1 марта 2023 года по результатам внепланового контрольного (надзорного) мероприятия, проведенного на основании наступления события,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программе проверок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строительного надзора в отношении объектов капитального строительства,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1 статьи 54 ГрК РФ, проводились следующие контрольные (надзорные) мероприятия: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документарная проверка;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выездная проверка;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инспекционный визит;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выездное обследование;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строительный надзор в отношении объектов, указанных в части 2 статьи 54 ГрК РФ, в 2024 году осуществлялся при наличии оснований, предусмотренных пунктами 1, 3 и 4 части 1 статьи 57 Федерального закона от 31.07.2020 № 248-ФЗ.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инспекцией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строительного надзора в соответствии с пунктом 1 части 1 статьи 57 Федерального закона от 31.07.2020 № 248-ФЗ, инспектором последовательно предпринимались действия, предусмотренные статьей 59, частью 3 статьи 58 и статьей 60 указанного Федерального закона.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строительного надзора в отношении объектов капитального строительства,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2 статьи 54 ГрК РФ, проводились контрольные (надзорные) мероприятия в форме выездного обследования.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в форме выездного обследования проводились на основании заданий уполномоченных должностных лиц инспекции.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государственного строительного надзора в отношении объектов, указанных в части 2 статьи 54 ГрК РФ, </w:t>
        <w:br/>
        <w:t xml:space="preserve"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частью 17 статьи 54 ГрК РФ в случае выявления факта осуществления строительства или реконструкции объекта капитального строительства без разрешения на строительство (за исключением случаев, если для строительства или реконструкции объекта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не требуется такое разрешение)</w:t>
      </w:r>
      <w:r>
        <w:rPr>
          <w:rFonts w:ascii="Times New Roman" w:hAnsi="Times New Roman" w:cs="Times New Roman"/>
          <w:sz w:val="28"/>
          <w:szCs w:val="28"/>
        </w:rPr>
        <w:t xml:space="preserve"> или факта несоответствия объекта капитального строительства параметрам, указанным в разрешении на строительство, а в случае, если для строительства или реконструкции объекта капитального строительства не требуется разрешение на строительство, факт несоотв</w:t>
      </w:r>
      <w:r>
        <w:rPr>
          <w:rFonts w:ascii="Times New Roman" w:hAnsi="Times New Roman" w:cs="Times New Roman"/>
          <w:sz w:val="28"/>
          <w:szCs w:val="28"/>
        </w:rPr>
        <w:t xml:space="preserve">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</w:t>
      </w:r>
      <w:r>
        <w:rPr>
          <w:rFonts w:ascii="Times New Roman" w:hAnsi="Times New Roman" w:cs="Times New Roman"/>
          <w:sz w:val="28"/>
          <w:szCs w:val="28"/>
        </w:rPr>
        <w:t xml:space="preserve">ребованиям </w:t>
        <w:br/>
        <w:t xml:space="preserve">к параметрам объектов капитального строительства, установленным ГрК РФ, другими федеральными законами, инспекция в органы местного самоуправления г. Новосибирска и Новосибирской области направлялись уведомления о выявлении самовольной постройки.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 Оформление результатов контрольного (надзорного) мероприятия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принятие мер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87 Федерального закона от 31.07.2020 № 248-ФЗ к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контрольного (надзорного) мероприятия относит оценку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пунктом 2 части 2 статьи 90 указанного Федерального закона.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(надзорного) мероприятия, предусматривающег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взаимодействие с контролируемым лицом, составляется акт контрольного (надзорного) мероприятия (далее также – акт). В случае, если по результатам проведения такого мероприятия выявлено нарушение обязательных требований, в акте должно быть указано, какое и</w:t>
      </w:r>
      <w:r>
        <w:rPr>
          <w:rFonts w:ascii="Times New Roman" w:hAnsi="Times New Roman" w:cs="Times New Roman"/>
          <w:sz w:val="28"/>
          <w:szCs w:val="28"/>
        </w:rPr>
        <w:t xml:space="preserve">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контролируемым лицом, в акте указывается факт его устранения. Акт вносится в единый реестр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39 - 43 Федерального закона от 31.07.2020 № 248-ФЗ.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контрольных (надзорных) мероприятий в отношении объектов капитального строительства, указанных в части 1 статьи 54 ГрК РФ составляется акт контрольного (надзорного) мероприятия. В случае 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проведения контрольного (надзорного) мероприятия выявлено нарушение обязательных требований, в том числе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работ и применяемых строительных материалов и изделий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строительства, реконструкции объекта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а также результатов таких работ требованиям, предусмотренным пунктом 1 части 3 статьи 54 ГрК РФ, в акте в соответствии с частью 2 статьи 87 Федерального закона от 31.07.2020 № 248-ФЗ должно быть указано, какое именно обязательное требование нарушено.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инспекция в пределах своих полномочий, предусмотренных законодательством Российской Федерации, обязана: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 незамедлительно принять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</w:t>
        <w:br/>
        <w:t xml:space="preserve">до обращения в суд с требованием о запрете эксплуатации (использования) зданий, строений, сооружений;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 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 принять меры по осуществлению контроля з</w:t>
      </w:r>
      <w:r>
        <w:rPr>
          <w:rFonts w:ascii="Times New Roman" w:hAnsi="Times New Roman" w:cs="Times New Roman"/>
          <w:sz w:val="28"/>
          <w:szCs w:val="28"/>
        </w:rPr>
        <w:t xml:space="preserve">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обеспечению его исполнения вплоть до обращения в суд с требованием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принудительном исполнении предписания;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рассмотреть вопрос о выдаче рекомендаций по соблюдению обязательных требований, проведении иных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профилактику рисков причинения вреда (ущерба) охраняемым законом ценностям.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Акт, предписание об устранении выявленных нарушений обязательных требований, а также приложенные к акту подготовленные либо полученные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проведения контрольного (надзорного) мероприятия документы (при их наличии) составляются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(вручаются) контролируемому лицу посредством электронной почты, информационных систем, указанных в статье 17 Федерального закона от 31.07.2020 № 248-ФЗ, а в случае, предусмотренном частью 9 статьи 21 указанного Федерального закона, – на бумажном носителе.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(надзорного)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капитального строительства, указанных в части 2 статьи 54 ГрК РФ, составляется акт.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проведенного контрольного (надзорного) мероприятия инспекцией выявлено нарушение обязательных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ребований, соблюдение которых является предметом регионального государственного строительного надзора в отношении объектов, указанных в части 2 статьи 54 ГрК РФ, инспекцией после оформления акта принимаются меры, предусмотренные частью 17 статьи 54 ГрК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 Сведения о проведенных инспекцией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контрольных (надзорных) мероприятиях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контрольных (надзорных) мероприятиях за 2024 год приведена в таблице № 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</w:p>
    <w:tbl>
      <w:tblPr>
        <w:tblStyle w:val="907"/>
        <w:tblW w:w="9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17"/>
        <w:gridCol w:w="1313"/>
        <w:gridCol w:w="1459"/>
        <w:gridCol w:w="1275"/>
        <w:gridCol w:w="1275"/>
        <w:gridCol w:w="1275"/>
        <w:gridCol w:w="1100"/>
      </w:tblGrid>
      <w:tr>
        <w:tblPrEx/>
        <w:trPr>
          <w:trHeight w:val="600"/>
        </w:trPr>
        <w:tc>
          <w:tcPr>
            <w:gridSpan w:val="2"/>
            <w:shd w:val="clear" w:color="ffffff" w:fill="ffffff"/>
            <w:tcW w:w="16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Проведено контрольных (надзорных) мероприятий: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Выездная проверка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Документарная проверка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Инспекционный визит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Рейдовый осмотр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Выездное обследование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Мониторинг безопасности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ffffff" w:fill="ffffff"/>
            <w:tcW w:w="16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программам проверок: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ffffff" w:fill="ffffff"/>
            <w:tcW w:w="16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контролю исполнения предписаний: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заявлениям и обращениям: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817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ч. 1 ст 54 ГрК: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 (о возникновении угрозы причинения вреда жизни, здоровью граждан, вреда животным, растениям, окружающей среде, объектам культурного наследия), 1 (о причинении вреда жизни и здоровью граждан, вреда животным, растениям, окружающей среде, объектам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культурного наследия)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12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(из них 77 – 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817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ч. 2 ст 54 ГрК: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ffffff" w:fill="ffffff"/>
            <w:tcW w:w="1667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требованиям прокуратуры: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ffffff" w:fill="ffffff"/>
            <w:tcW w:w="1667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 иным основаниям: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(индикатор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(индикатор риска)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(обращение граждан)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ffffff" w:fill="ffffff"/>
            <w:tcW w:w="1667" w:type="dxa"/>
            <w:textDirection w:val="lrTb"/>
            <w:noWrap/>
          </w:tcPr>
          <w:p>
            <w:pPr>
              <w:jc w:val="both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shd w:val="clear" w:color="ffffff" w:fill="ffffff"/>
            <w:tcW w:w="13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2458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4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2024 год происходит уменьшение количества проведенных контрольных (надзорных) мероприятий и уменьшение выявленных 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обязательных требований, о чем свидетельствуют показатели таблицы № 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Таблица № 2</w:t>
      </w:r>
      <w:r/>
    </w:p>
    <w:tbl>
      <w:tblPr>
        <w:tblStyle w:val="709"/>
        <w:tblW w:w="939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929"/>
        <w:gridCol w:w="2234"/>
        <w:gridCol w:w="2234"/>
      </w:tblGrid>
      <w:tr>
        <w:tblPrEx/>
        <w:trPr/>
        <w:tc>
          <w:tcPr>
            <w:tcW w:w="4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42"/>
        </w:trPr>
        <w:tc>
          <w:tcPr>
            <w:tcW w:w="493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tcW w:w="49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этом за 2024 год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происходит увеличение количества проведенных контрольных (надзорных) мероприятий в расчете на одного инспектора, о чем свидетельствуют показатели таблицы № 3.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3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75" w:type="dxa"/>
        <w:tblInd w:w="102" w:type="dxa"/>
        <w:tblLook w:val="04A0" w:firstRow="1" w:lastRow="0" w:firstColumn="1" w:lastColumn="0" w:noHBand="0" w:noVBand="1"/>
      </w:tblPr>
      <w:tblGrid>
        <w:gridCol w:w="570"/>
        <w:gridCol w:w="4726"/>
        <w:gridCol w:w="2100"/>
        <w:gridCol w:w="197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tabs>
                <w:tab w:val="left" w:pos="390" w:leader="none"/>
                <w:tab w:val="left" w:pos="57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4725" w:type="dxa"/>
            <w:vAlign w:val="center"/>
            <w:vMerge w:val="restart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407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ascii="Times New Roman" w:hAnsi="Times New Roman" w:cs="Calibri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4725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</w:r>
            <w:r>
              <w:rPr>
                <w:rFonts w:ascii="Times New Roman" w:hAnsi="Times New Roman" w:cs="Calibri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210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состоянию на 01.01.2025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состоянию на 01.01.2024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4725" w:type="dxa"/>
            <w:vAlign w:val="center"/>
            <w:textDirection w:val="lrTb"/>
            <w:noWrap w:val="false"/>
          </w:tcPr>
          <w:p>
            <w:pPr>
              <w:pStyle w:val="90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4725" w:type="dxa"/>
            <w:vAlign w:val="center"/>
            <w:textDirection w:val="lrTb"/>
            <w:noWrap w:val="false"/>
          </w:tcPr>
          <w:p>
            <w:pPr>
              <w:pStyle w:val="90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инспекторов, осуществляющих проведение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4725" w:type="dxa"/>
            <w:vAlign w:val="center"/>
            <w:textDirection w:val="lrTb"/>
            <w:noWrap w:val="false"/>
          </w:tcPr>
          <w:p>
            <w:pPr>
              <w:pStyle w:val="90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обязательных требований, контролируемым лицам, допустившим такие нарушения при строительстве, реконструкции объектов капитального строительства, должностными лицами инспекции за 2024 год выдано 483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предписания (в 2023 году – 572).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выданных предписаний об устранении нарушений за 2023, 2024 годы приведена на рисунке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646606" cy="2461672"/>
            <wp:effectExtent l="4762" t="4762" r="4762" b="47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количества выданных за 2024 год предписаний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сравнении с 2023 годом вызвано снижением количества проведенных контрольных (надзорных) мероприятий и выявленных нарушений обязательных требований.</w:t>
      </w:r>
      <w:r/>
    </w:p>
    <w:p>
      <w:pPr>
        <w:contextualSpacing/>
        <w:ind w:firstLine="709"/>
        <w:jc w:val="both"/>
        <w:spacing w:after="0" w:line="240" w:lineRule="auto"/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согласования проведения внеплановых контрольных (надзорных) мероприятий с прокуратурой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установленных законом случаях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 состоянию на 01.01.2024 и 01.01.2025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на </w:t>
      </w:r>
      <w:r>
        <w:rPr>
          <w:rFonts w:ascii="Times New Roman" w:hAnsi="Times New Roman" w:cs="Times New Roman"/>
          <w:sz w:val="28"/>
          <w:szCs w:val="28"/>
        </w:rPr>
        <w:t xml:space="preserve">рисунке 2.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576297" cy="2899531"/>
            <wp:effectExtent l="4762" t="4762" r="4762" b="4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01.01.2025 </w:t>
      </w:r>
      <w:r>
        <w:rPr>
          <w:rFonts w:ascii="Times New Roman" w:hAnsi="Times New Roman" w:cs="Times New Roman"/>
          <w:sz w:val="28"/>
          <w:szCs w:val="28"/>
        </w:rPr>
        <w:t xml:space="preserve">инспекцией направлено в прокуратуру Новосибирской области 45 заявлени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проведения внеплановых контрольных (надзорных) мероприятий (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по состоянию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br/>
        <w:t xml:space="preserve">на 01.01.2024</w:t>
      </w:r>
      <w:r>
        <w:rPr>
          <w:rFonts w:ascii="Times New Roman" w:hAnsi="Times New Roman" w:cs="Times New Roman"/>
          <w:sz w:val="28"/>
          <w:szCs w:val="28"/>
        </w:rPr>
        <w:t xml:space="preserve"> – 67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которых прокуратурой Новосибирской области принят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проведения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8 мероприятий (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01.01.2024 – 18), об отказе в согласовании 37 мероприятий (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01.01.2024</w:t>
      </w:r>
      <w:r>
        <w:rPr>
          <w:rFonts w:ascii="Times New Roman" w:hAnsi="Times New Roman" w:cs="Times New Roman"/>
          <w:sz w:val="28"/>
          <w:szCs w:val="28"/>
        </w:rPr>
        <w:t xml:space="preserve"> – 49).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государственного строительного надзора в отношении объектов, указанных в части 2 статьи 54 ГрК РФ,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17 статьи 54 ГрК РФ в органы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г. Новосибирска и Новосибирской области в 2024 году направлено 181 уведомление о выявлении самовольной постройки.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2.6. Досудебное обжалование решений инспекции,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действий (бездействия) ее должностных лиц при осуществлении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государственного строительного надзора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Досудебное обжалование решений инспекции, действий (бездействия) должностных лиц инспекции осуществляется в соответствии с главой 9 Федерального закона от 31.07.2020 № 248-ФЗ.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судебное обжалование</w:t>
      </w:r>
      <w:r>
        <w:rPr>
          <w:sz w:val="28"/>
          <w:szCs w:val="28"/>
        </w:rPr>
        <w:t xml:space="preserve"> решений инспекции, действий (бездействия) должностных лиц инспекции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обжаловать решения инспекции, действия (бездействие) ее должностных лиц, осуществляемые (принятые) </w:t>
      </w:r>
      <w:r>
        <w:rPr>
          <w:sz w:val="28"/>
          <w:szCs w:val="28"/>
        </w:rPr>
        <w:br/>
        <w:t xml:space="preserve">в ходе регионального государственного строительного надзора </w:t>
      </w:r>
      <w:r>
        <w:rPr>
          <w:sz w:val="28"/>
          <w:szCs w:val="28"/>
        </w:rPr>
        <w:br/>
        <w:t xml:space="preserve">за соблюдением градостроительного законодательства на территории Новосибирской области в досудебном (внесудебном) порядке.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В 2024 году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строительного надзора, имели право на досудебное обжалование: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1) решений о проведении контрольных (надзорных) мероприятий;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2) актов контрольных (надзорных) мероприятий, предписаний об устранении нарушений обязательных требований;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3) действий (бездействия) должностных лиц инспекции в рамках контрольных (надзорных) мероприятий.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подлежала рассмотрению уполномоченным на рассмотрение жалобы органом в течение 20 рабочих дней со дня ее регистрации </w:t>
      </w:r>
      <w:r>
        <w:rPr>
          <w:sz w:val="28"/>
          <w:szCs w:val="28"/>
        </w:rPr>
        <w:br/>
        <w:t xml:space="preserve">в подсистеме досудебного обжалования. В исключительных случаях, этот срок мог быть продлен на двадцать рабочих дней.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Досудебное обжалование решений инспекции, действий (бездействия) ее должностных лиц осуществляется в соответствии с Положением.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решения, действия (бездейс</w:t>
      </w:r>
      <w:r>
        <w:rPr>
          <w:sz w:val="28"/>
          <w:szCs w:val="28"/>
        </w:rPr>
        <w:t xml:space="preserve">твие) должностного лица инспекции, уполномоченного на проведение конкретного контрольного (надзорного) мероприятия, рассматривается начальником инспекции, а в его отсутствие – заместителем начальника инспекции, исполняющим обязанности начальника инспекции.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ко</w:t>
      </w:r>
      <w:r>
        <w:rPr>
          <w:sz w:val="28"/>
          <w:szCs w:val="28"/>
        </w:rPr>
        <w:t xml:space="preserve">нтролируемым лицом в инспекцию в электронном виде с использованием Единого портала государственных и муниципальных услуг, за исключением случая, если жалоба содержит сведения и документы, составляющие государственную или иную охраняемую законом тайну. При </w:t>
      </w:r>
      <w:r>
        <w:rPr>
          <w:sz w:val="28"/>
          <w:szCs w:val="28"/>
        </w:rPr>
        <w:t xml:space="preserve">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инспекции, действия (бездействие) </w:t>
      </w:r>
      <w:r>
        <w:rPr>
          <w:sz w:val="28"/>
          <w:szCs w:val="28"/>
        </w:rPr>
        <w:br/>
        <w:t xml:space="preserve">ее должностных лиц может быть подана в течение тридцати календарных дней со дня, когда контролируемое лицо узнало или должно было узнать </w:t>
      </w:r>
      <w:r>
        <w:rPr>
          <w:sz w:val="28"/>
          <w:szCs w:val="28"/>
        </w:rPr>
        <w:br/>
        <w:t xml:space="preserve">о нарушении своих прав.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об устранении нарушений при строительстве (реконструкции) объекта может быть подана в течение десяти рабочих дней </w:t>
      </w:r>
      <w:r>
        <w:rPr>
          <w:sz w:val="28"/>
          <w:szCs w:val="28"/>
        </w:rPr>
        <w:br/>
        <w:t xml:space="preserve">с момента его получения контролируемым лицом.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инспекцией.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Жалоба может содержать ходатайство о приостановлении исполнения обжалуемого решения инспекции.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Инспекция в срок не позднее двух рабочих дней со дня регистрации жалобы принимает решение: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1) о приостановлении исполнения обжалуемого решения инспекции;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2) об отказе в приостановлении исполнения обжалуемого решения инспекции.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</w:t>
      </w:r>
      <w:r>
        <w:rPr>
          <w:sz w:val="28"/>
          <w:szCs w:val="28"/>
        </w:rPr>
        <w:br/>
        <w:t xml:space="preserve">и аутентификации».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Инспекция при рассмотрении жалобы использует подсистему досудебного обжалования ГИС ТОР КНД. Правила ведения подсистемы досудебного обжалования ГИС ТОР КНД утверждаются Правительством Российской Федерации.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жалобы инспекция принимает одно </w:t>
      </w:r>
      <w:r>
        <w:rPr>
          <w:sz w:val="28"/>
          <w:szCs w:val="28"/>
        </w:rPr>
        <w:br/>
        <w:t xml:space="preserve">из следующих решений: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1) об оставлении жалобы без удовлетворения;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2) об отмене решения инспекции полностью или частично;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3) об отмене полностью решения инспекции и принятии нового решения;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4) о признании действия (бездействия) должностных лиц инспекции незаконными и вынесении решения по существу, в том числе </w:t>
      </w:r>
      <w:r>
        <w:rPr>
          <w:sz w:val="28"/>
          <w:szCs w:val="28"/>
        </w:rPr>
        <w:br/>
        <w:t xml:space="preserve">об осуществлении при необходимости определенных действий.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Решение инспекции, содержащее обоснование принятого решения, срок и порядок его исполнения, размещается в личном кабинете </w:t>
      </w:r>
      <w:r>
        <w:rPr>
          <w:sz w:val="28"/>
          <w:szCs w:val="28"/>
        </w:rPr>
        <w:t xml:space="preserve">контролируемого лица на Едином портале государственных </w:t>
      </w:r>
      <w:r>
        <w:rPr>
          <w:sz w:val="28"/>
          <w:szCs w:val="28"/>
        </w:rPr>
        <w:br/>
        <w:t xml:space="preserve">и муниципальных услуг в срок не позднее одного рабочего дня со дня его принятия.</w:t>
      </w:r>
      <w:r>
        <w:rPr>
          <w:sz w:val="28"/>
          <w:szCs w:val="28"/>
        </w:rPr>
      </w:r>
    </w:p>
    <w:p>
      <w:pPr>
        <w:pStyle w:val="893"/>
        <w:ind w:firstLine="708"/>
        <w:jc w:val="both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В таблице 4 представлена информация о результатах рассмотрения жалоб (ходатайств), поступающих посредством подсистемы досудебного обжалования ГИС ТОР КНД в динамике за 2023, 2024 годы.</w:t>
      </w:r>
      <w:r>
        <w:rPr>
          <w:sz w:val="28"/>
          <w:szCs w:val="28"/>
        </w:rPr>
      </w:r>
    </w:p>
    <w:p>
      <w:pPr>
        <w:pStyle w:val="893"/>
        <w:ind w:firstLine="708"/>
        <w:jc w:val="right"/>
        <w:spacing w:line="331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8"/>
        <w:jc w:val="right"/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</w:p>
    <w:tbl>
      <w:tblPr>
        <w:tblW w:w="9360" w:type="dxa"/>
        <w:tblInd w:w="115" w:type="dxa"/>
        <w:tblLook w:val="04A0" w:firstRow="1" w:lastRow="0" w:firstColumn="1" w:lastColumn="0" w:noHBand="0" w:noVBand="1"/>
      </w:tblPr>
      <w:tblGrid>
        <w:gridCol w:w="5952"/>
        <w:gridCol w:w="1923"/>
        <w:gridCol w:w="14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Показатель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2023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контрольных (надзорных) мероприятий, проведенных по программам проверок, результаты которых были оспорены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количество жалоб на решения контрольного (надзорного) органа, действия (бездействие) его должностных лиц, рассмотренных инспекцией в рамках подсистемы досудебного обжалования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отказов инспекции в удовлетворении жалоб на решения контрольного (надзорного) органа, действия (бездействие) его должностных лиц (далее – жалоба), рассмотренных в рамках подсистемы досудебного обжалования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жалоб контролируемых лиц, рассмотренных в судебном порядке по которым судом приняты решения в пользу контролируемого лица,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количество жалоб контролируемых лиц, рассмотренных в судебном порядке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количество рассмотренных инспекцией жалоб (ходатайств) в рамках подсистемы досудебного обжалования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</w:t>
            </w:r>
            <w:r/>
          </w:p>
        </w:tc>
      </w:tr>
    </w:tbl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2.7. Сведения о результатах административного и судебного оспаривания постановлений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2024 года в судах, а также начальнику инспекции контролируемыми лицами обжаловались постановления инспекции по делам об 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обжаловано 18 постановлений инспекции по делам </w:t>
      </w:r>
      <w:r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(далее – постановление инспекции), из них 8 начальнику инспекции, 10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18 обжалуемых постановлений инспекции: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numPr>
          <w:ilvl w:val="3"/>
          <w:numId w:val="1"/>
        </w:numPr>
        <w:ind w:left="0" w:firstLine="39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 постановлений оставлено в силе;</w:t>
      </w:r>
      <w:r/>
    </w:p>
    <w:p>
      <w:pPr>
        <w:pStyle w:val="892"/>
        <w:numPr>
          <w:ilvl w:val="0"/>
          <w:numId w:val="1"/>
        </w:numPr>
        <w:ind w:left="0" w:firstLine="39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 постановлений отменено, производство по делу об административном правонарушении прекращено в связи с малозначительностью правонарушения, объявлением устного замечания;</w:t>
      </w:r>
      <w:r/>
    </w:p>
    <w:p>
      <w:pPr>
        <w:pStyle w:val="892"/>
        <w:numPr>
          <w:ilvl w:val="0"/>
          <w:numId w:val="1"/>
        </w:numPr>
        <w:ind w:left="0" w:firstLine="39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 постановления отменены: 1 постановление отменено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отсутствием состава административного правонарушения, 1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отменено с возвращением дела должностному лицу инспекции на новое рассмотрение.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/>
      </w:pPr>
      <w:r>
        <w:rPr>
          <w:rFonts w:ascii="Times New Roman" w:hAnsi="Times New Roman" w:cs="Times New Roman"/>
          <w:sz w:val="28"/>
          <w:szCs w:val="28"/>
        </w:rPr>
        <w:t xml:space="preserve">В сравнении с показателями 2024 года в 2023 году было обжаловано 23 постановления по делам об административных правонарушениях, из них: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/>
      </w:pPr>
      <w:r>
        <w:rPr>
          <w:rFonts w:ascii="Times New Roman" w:hAnsi="Times New Roman" w:cs="Times New Roman"/>
          <w:sz w:val="28"/>
          <w:szCs w:val="28"/>
        </w:rPr>
        <w:t xml:space="preserve">- 18 постановлений обжаловано вышестоящему должностному лицу инспекции. По результатам рассмотрения жалоб принят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1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изменении постановления в части размера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виде снижения суммы административного штрафа,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решений об отмене постановлени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делу с прекращением производства и объявлением устного замечания, в 6 случаях постановление оставлено без изменения;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/>
      </w:pPr>
      <w:r>
        <w:rPr>
          <w:rFonts w:ascii="Times New Roman" w:hAnsi="Times New Roman" w:cs="Times New Roman"/>
          <w:sz w:val="28"/>
          <w:szCs w:val="28"/>
        </w:rPr>
        <w:t xml:space="preserve">- 5 постановлений обжаловано в судебном порядке, из них: </w:t>
      </w:r>
      <w:r>
        <w:rPr>
          <w:rFonts w:ascii="Times New Roman" w:hAnsi="Times New Roman" w:cs="Times New Roman"/>
          <w:sz w:val="28"/>
          <w:szCs w:val="28"/>
        </w:rPr>
        <w:br/>
        <w:t xml:space="preserve">3 постановление оставлено без изменения; 1 постановление отменено полностью, производство по делу прекращено; 1 постановление изменено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размера административного наказания в виде снижения суммы административного штрафа.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0" w:firstLine="68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обжалуемых постановлений связано с принятием Федерального закона от 26.03.2022 № 70-ФЗ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Кодекс Российской Федерации об административных правонарушениях», вступившего в законную силу 06.04.2022 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14.07.2022 № 290-ФЗ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правонарушениях».</w:t>
      </w:r>
      <w:r/>
    </w:p>
    <w:p>
      <w:pPr>
        <w:pStyle w:val="892"/>
        <w:ind w:left="0" w:firstLine="68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Указанными законами внесены изменения в общую часть КоАП РФ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совершенствования назначения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за совершение административного правонарушения юридическим лицам,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в виде административного штрафа. В частности:</w:t>
      </w:r>
      <w:r/>
    </w:p>
    <w:p>
      <w:pPr>
        <w:pStyle w:val="892"/>
        <w:ind w:left="0" w:firstLine="68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статья 2.1 КоАП РФ дополнена новой частью 4,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которой юридическое лицо не подлежит административной ответственности за совершение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административной ответственности, если таким юридич</w:t>
      </w:r>
      <w:r>
        <w:rPr>
          <w:rFonts w:ascii="Times New Roman" w:hAnsi="Times New Roman" w:cs="Times New Roman"/>
          <w:sz w:val="28"/>
          <w:szCs w:val="28"/>
        </w:rPr>
        <w:t xml:space="preserve">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статьи 2.1 КоАП РФ;</w:t>
      </w:r>
      <w:r/>
    </w:p>
    <w:p>
      <w:pPr>
        <w:pStyle w:val="892"/>
        <w:ind w:left="0" w:firstLine="68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частью 3 статьи 3.4 КоАП РФ предусмотрена замена административного штрафа на предупреждение в соответствии со статьей 4.1.1 КоАП РФ;</w:t>
      </w:r>
      <w:r/>
    </w:p>
    <w:p>
      <w:pPr>
        <w:pStyle w:val="892"/>
        <w:ind w:left="0" w:firstLine="68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глава 4 КоАП РФ дополнена статьей 4.1.2, регулирующей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юридическим лицам, отнесенным к малым предприятиям, в том числе к микропредприятиям. стимулирование привлеченных к административной ответственности лиц к добровольной уплате назначенного административного штрафа.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2.8. Работа с заявлениями и обращениями граждан, содержащими сведения о нарушении обязательных требований, причинении вреда или угрозе причинения вреда охраняемым законом ценностям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устных обращений и запросов граждан, объединений граждан, в то</w:t>
      </w:r>
      <w:r>
        <w:rPr>
          <w:rFonts w:ascii="Times New Roman" w:hAnsi="Times New Roman" w:cs="Times New Roman"/>
          <w:sz w:val="28"/>
          <w:szCs w:val="28"/>
        </w:rPr>
        <w:t xml:space="preserve">м числе юридических лиц, поступивших в адрес инспекции,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инспекции.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в инспекцию реализована путем направления письменных обращений по почте,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официальный сайт инспекции (https://gsn.nso.ru/), устно по справочному телефону, а также лично на личных приемах.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</w:t>
      </w:r>
      <w:r>
        <w:rPr>
          <w:rFonts w:ascii="Times New Roman" w:hAnsi="Times New Roman" w:cs="Times New Roman"/>
          <w:sz w:val="28"/>
          <w:szCs w:val="28"/>
        </w:rPr>
        <w:br/>
        <w:t xml:space="preserve">и своевременному рассмотрению обращений осуществляет отдел кадровой работы и документационного обеспечения инспекции.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2024 году в инспекцию поступило 935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751, 2022 год – 690)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в том числе: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письменных обращений – 894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728, 2022 год – 660)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– 337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189, 2022 год – 215)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устных обращений по телефону – 3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8, 2022 год – 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на личных приемах – 38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15, 2022 год – 19)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смс-сообщение – 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0, 2022 год –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037533" cy="2243788"/>
            <wp:effectExtent l="4762" t="4762" r="4762" b="4762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количества обращений, поступивших в 2024 году в инспекцию, показывает, что по сравнению с 2023 годом количество обращений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24,5 % (на 184 обращения), по сравнению с 2022 годом количество обращений увеличилось на 35,5 % ( на 245 обращений).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2.8.1. Рассмотрение письменных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9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году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адрес инспекции поступило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894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2023 год – 728, 2022 год – 660</w:t>
      </w:r>
      <w:r>
        <w:rPr>
          <w:rFonts w:ascii="Times New Roman" w:hAnsi="Times New Roman"/>
          <w:sz w:val="28"/>
          <w:szCs w:val="28"/>
        </w:rPr>
        <w:t xml:space="preserve">), из них в форме электронного документа – 337 (</w:t>
      </w:r>
      <w:r>
        <w:rPr>
          <w:rFonts w:ascii="Times New Roman" w:hAnsi="Times New Roman"/>
          <w:i/>
          <w:sz w:val="28"/>
          <w:szCs w:val="28"/>
        </w:rPr>
        <w:t xml:space="preserve">2023 год – 189, 2022 год – 215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сравнению с 2023 годом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количество письменных обращений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23 % 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на 166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2021 год – увеличилось на 35 %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на 234 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605669" cy="3116911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 видам письменные обращения подразделяются на: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заявления – 914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711, 2022 год – 637)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жалобы – 21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38, 2022 год -25)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запросы – 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0, 2022 год – 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предложения – 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0, 2022 год – 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обращения – 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0, 2022 год – 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</w:r>
      <w:r>
        <w:rPr>
          <w:lang w:eastAsia="ru-RU"/>
        </w:rPr>
        <w:drawing>
          <wp:inline distT="0" distB="0" distL="0" distR="0">
            <wp:extent cx="5834228" cy="2212717"/>
            <wp:effectExtent l="4762" t="4762" r="4762" b="4762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 письменных обращениях относятся к тематическим разделам: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«Экономика» - 722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«Социальная сфера» - 1 обращение;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«Жилищно-коммунальная сфера» - 21 обращение;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«Государство, общество, политика» - 7 обращений.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2.8.2. Тематика вопросов письменных обращений,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инспекцию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обращениях граждан, поступивших в инспекцию в 2024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часто встречались вопросы по тематикам: «Выполнение государственных требований при осуществлении строительной деятельности, соблюдение СНИПов», «Устранение строительных недоделок», которые более детально можно охарактеризовать следующим образом: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несогласие граждан со строительством новых объектов;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негативное влияние нового строительства на существующую застройку;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нарушения на строительных площадках (шумные работы, отсутствие защитных ограждений, информационных щитов, отсутствие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не функционирование пункта мойки колес на строительных площадках </w:t>
      </w:r>
      <w:r>
        <w:rPr>
          <w:rFonts w:ascii="Times New Roman" w:hAnsi="Times New Roman" w:cs="Times New Roman"/>
          <w:sz w:val="28"/>
          <w:szCs w:val="28"/>
        </w:rPr>
        <w:br/>
        <w:t xml:space="preserve">и т.д.);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неудовлетворительное качество построенных многоквартирных жилых домов (строительные недоделки);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информирование о незаконно возводимых объектах капитального строительства (самовольное строительство).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рассмотрения вопросов, содержащихся в письменных обращениях: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 разъяснено – 694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594, 2022 год – 537)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направлено по компетенции – 203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(2023 год – 155, 2022 – 119)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2.8.3. Личный прием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в инспекции организуется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02.05.2006 № 59-ФЗ, постановлением Губернатора Новосибирской области от 25.12.2006 № 516 </w:t>
      </w:r>
      <w:r>
        <w:rPr>
          <w:rFonts w:ascii="Times New Roman" w:hAnsi="Times New Roman" w:cs="Times New Roman"/>
          <w:sz w:val="28"/>
          <w:szCs w:val="28"/>
        </w:rPr>
        <w:br/>
        <w:t xml:space="preserve">«О совершенствовании организации личных приемов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приказом инспекции от 24.05.2021 № 2 «Об утверждении инструкции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организации работы с обращениями граждан».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личном приеме принято 38 человек (в 2023 году – 15 человек, 2022 году – 19 человек).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Cs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постоянном режиме применяется система личного приема граждан,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в режиме видео-связи, аудио-связи и иных видов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вопросам, входящим в компетенцию инспекции. Вопросы обращений касались соблюдения градостроительного законодательства застройщиками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сроков ввода в эксплуатацию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города Новосибирска.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2.8.4. Устные сообщения и запросы в справочную телефонную службу инспекции</w:t>
      </w:r>
      <w:r>
        <w:rPr>
          <w:b/>
          <w:bCs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инспекции поступило 3 устных сообщения (2023 год – 8, 2022 год – 10), в том числе в форме </w:t>
      </w:r>
      <w:r>
        <w:rPr>
          <w:rFonts w:ascii="Times New Roman" w:hAnsi="Times New Roman" w:cs="Times New Roman"/>
          <w:sz w:val="28"/>
          <w:szCs w:val="28"/>
        </w:rPr>
        <w:br/>
        <w:t xml:space="preserve">смс-сообщений – 0 (2023 год – 0, 2022 год – 1).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Cs/>
          <w:lang w:eastAsia="ru-RU"/>
        </w:rPr>
        <w:drawing>
          <wp:inline distT="0" distB="0" distL="0" distR="0">
            <wp:extent cx="5367130" cy="2878373"/>
            <wp:effectExtent l="0" t="0" r="0" b="0"/>
            <wp:docPr id="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2.8.5. Контроль за соблюдением порядка рассмотрения обращений граждан</w:t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в инспекции позволи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обеспечить объективное, всестороннее и своевременное рассмотрение о</w:t>
      </w:r>
      <w:r>
        <w:rPr>
          <w:rFonts w:ascii="Times New Roman" w:hAnsi="Times New Roman" w:cs="Times New Roman"/>
          <w:sz w:val="28"/>
          <w:szCs w:val="28"/>
        </w:rPr>
        <w:t xml:space="preserve">бращений 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2.9. 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регионального государственного строительного надзора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2024 году инспекция принимала меры административного воздействия к нарушителям законодательства Российской Федерации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соответствии с КоАП РФ.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/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наказания,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применяемого</w:t>
      </w:r>
      <w:r>
        <w:rPr>
          <w:rFonts w:ascii="Times New Roman" w:hAnsi="Times New Roman" w:cs="Times New Roman"/>
          <w:sz w:val="28"/>
          <w:szCs w:val="28"/>
        </w:rPr>
        <w:t xml:space="preserve"> инспекцией в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году, является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применения административных наказаний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рассматриваемый период приведена на рисунке 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  <w:lang w:eastAsia="ru-RU"/>
        </w:rPr>
        <w:drawing>
          <wp:inline distT="0" distB="0" distL="0" distR="0">
            <wp:extent cx="5486400" cy="4595853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uppressLineNumbers/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Увеличение количества назначенных административных наказаний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br/>
        <w:t xml:space="preserve">в виде административного штрафа в сравнении с иными видами наказаний связано с наличием у привлекаемых к административной ответственности лиц отягчающих вину обстоятельств, предусмотренных ст. 4.3 КоАП РФ,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br/>
        <w:t xml:space="preserve">а именно: повторное совершение однородного административного правонарушения, т.е. совершение административного правонарушения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br/>
        <w:t xml:space="preserve">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за 2024 год сумма наложенных инспекцией и судами Новосибирской области штрафов составила 17 028 тыс. руб. (в 2023 году - </w:t>
      </w:r>
      <w:r>
        <w:rPr>
          <w:rFonts w:ascii="Times New Roman" w:hAnsi="Times New Roman" w:cs="Times New Roman"/>
          <w:sz w:val="28"/>
          <w:szCs w:val="28"/>
        </w:rPr>
        <w:br/>
        <w:t xml:space="preserve">20 993 тыс. руб., в 2022 году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13 058 тыс. руб.).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zh-CN"/>
        </w:rPr>
        <w:suppressLineNumbers/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Арбитражным судом Новосибирской области за 2024 год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br/>
        <w:t xml:space="preserve">по заявлениям инспекции вынесено 3 решения о привлечении виновных лиц к административной ответственности, предусмотренной ч. 2, 3 ст. 9.4 КоАП РФ, с назначением административного наказания в виде приостановления деятельности, а именно: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/>
      </w:pP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- 2 решения в отношении ООО СК «Столица Приволжья» – приостановление деятельности путем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запрета проведения строительно-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монтажных работ по дальнейшему возведению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школ по улицам Спортивная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и Николая Сотникова;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uppressLineNumbers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- 1 решение в отношении ООО «АИСТ» –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приостановление деятельности путем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запрета проведения строительно-монтажных работ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br/>
        <w:t xml:space="preserve">на объекте капитального строительства «Реконструкция здания подземной автостоянки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под здание автостоянки для легковых автомобилей надземной закрытого типа с помещениями общественного назначения», расположенного по адресу: Новосибирская область, г. Новосибирск, ул. Галущака, д. 3/1, кадастровый номер земельного участка: 54:35:032770:129.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подачи в суд заявлений о приостановлении деятельности по строительству указанных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явился факт выявления нарушений требований проектной документации, которые затрагивают конструктивные и другие характеристики надежности и безопасности объектов капитального строительства, а также создают угрозу причинения вреда жизни или здоровью граждан.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строительстве, группу административных правонарушений против порядка управления и группу административных правонарушений, посягающих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общественный порядок и общественную безопасность. К числу первых следует отнести следующие составы: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статья 9.4 КоАП РФ – нарушение обязательных требований в области строительства и применения строительных материалов (изделий);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статья 9.5 КоАП РФ – нарушение установленного порядка строительства, реконструкции, капитального ремонта объекта капитального строительства, ввода его в эксплуатацию;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часть 1 статьи 9.5.1 – выполнение работ по строительству, реконструкции, объектов капи</w:t>
      </w:r>
      <w:r>
        <w:rPr>
          <w:rFonts w:ascii="Times New Roman" w:hAnsi="Times New Roman" w:cs="Times New Roman"/>
          <w:sz w:val="28"/>
          <w:szCs w:val="28"/>
        </w:rPr>
        <w:t xml:space="preserve">тального строительства лицом, не являющимся членом саморегулируемой организации в области строительства, реконструкции объектов капитального строительства, если для выполнения таких работ членство в такой саморегулируемой организации является обязательным.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составы непосредственно касаются предмета надзорной деятельности инспекции.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второй группе административных правонарушений относятся: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часть 2 статьи 19.4.1 КоАП РФ –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 с федеральными законами на осуществление государственного надзора, должностного лица органа муниципального контроля, повлекшие невозможность проведения или завершения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часть 6 статьи 19.5 КоАП РФ –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статья 19.7 КоАП РФ – непредставление сведений (информации).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третьей группе административных правонарушений относится: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часть 1 статьи 20.25 КоАП РФ – неуплата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br/>
        <w:t xml:space="preserve">в срок, предусмотренный КоАП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должностными лицами инспекции возбуждено 549 дел </w:t>
      </w:r>
      <w:r>
        <w:rPr>
          <w:rFonts w:ascii="Times New Roman" w:hAnsi="Times New Roman" w:cs="Times New Roman"/>
          <w:sz w:val="28"/>
          <w:szCs w:val="28"/>
        </w:rPr>
        <w:br/>
        <w:t xml:space="preserve">об административном правонарушении, вынесено 524 постановления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привлечении виновных лиц к административной ответственности, из них 40 постановлений вынесены по результатам рассмотрения дел,</w:t>
      </w:r>
      <w:r>
        <w:rPr>
          <w:rFonts w:ascii="Times New Roman" w:hAnsi="Times New Roman" w:cs="Times New Roman"/>
          <w:sz w:val="28"/>
          <w:szCs w:val="28"/>
        </w:rPr>
        <w:t xml:space="preserve"> возбужденных в 2023 году. Более подробно информация о количестве вынесенных инспекцией, а также судами Новосибирской области постановлений, решений о привлечении к административной ответственности в динамике за 2023 и 2024 годы представлена в таблице № 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5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29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2223"/>
        <w:gridCol w:w="1518"/>
        <w:gridCol w:w="1659"/>
        <w:gridCol w:w="1942"/>
        <w:gridCol w:w="1987"/>
      </w:tblGrid>
      <w:tr>
        <w:tblPrEx/>
        <w:trPr>
          <w:trHeight w:val="6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Статья КоАП РФ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Количество постановлений/решений,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вынесенных в 2023 году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Количество постановлений/решений,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вынесенных в 2024 году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23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инспекцией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судами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инспекцией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судами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1 статьи 9.4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497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2 статьи 9.4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3 статьи 9.4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1 статьи 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2 статьи 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3 статьи 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1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4 статьи 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5 статьи 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1 статьи 9.5.1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статья 17.7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2 статьи 19.4.1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6 статьи 19.5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статья 19.7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1 статьи 20.25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за 2024 год показывает, что основными причинами нарушений обязательных требований при строительстве, реконструкции объектов капитального строительства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системат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ически повторяющиеся нарушения требований проектной документации;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ненадлежащее осуществление строительного контроля;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строительство или реконструкция объекта капитального строительства без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объекта капитального строительства параметрам, указанным в разрешении на строительство, предельным параметрам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к параметрам объектов капитального строительства, установленным ГрК РФ, другими федеральными законами.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основными причинами, способствующими нарушению обязательных требований,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несвоевременное внесение изменений в проектную документацию,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нарушение порядка внесения указанных изменений, установленного частями 3.8, 3.9 статьи 49 ГрК РФ;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неудовлетворительная организация строительного контроля как застройщика (технического заказчика), так и лица, осуществляющего строительство.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jc w:val="center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Раздел </w:t>
      </w:r>
      <w:r>
        <w:rPr>
          <w:rFonts w:ascii="Times New Roman" w:hAnsi="Times New Roman" w:cs="Times New Roman"/>
          <w:color w:val="auto"/>
          <w:lang w:val="en-US"/>
        </w:rPr>
        <w:t xml:space="preserve">III</w:t>
      </w:r>
      <w:r>
        <w:rPr>
          <w:rFonts w:ascii="Times New Roman" w:hAnsi="Times New Roman" w:cs="Times New Roman"/>
          <w:color w:val="auto"/>
        </w:rPr>
        <w:t xml:space="preserve">. Правоприменительная практика соблюдения обязательных требований</w:t>
      </w:r>
      <w:r>
        <w:rPr>
          <w:rFonts w:ascii="Times New Roman" w:hAnsi="Times New Roman" w:cs="Times New Roman"/>
          <w:color w:val="auto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97"/>
        <w:jc w:val="center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 Типичные нарушения обязательных требований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меры, принимаемые инспекцией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обобщения и анализа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осуществления регионального государственного строительного надзора за 2024 год </w:t>
      </w:r>
      <w:r>
        <w:rPr>
          <w:rFonts w:ascii="Times New Roman" w:hAnsi="Times New Roman" w:cs="Times New Roman"/>
          <w:sz w:val="28"/>
          <w:szCs w:val="28"/>
        </w:rPr>
        <w:t xml:space="preserve">инспекцией выявлен ряд наиболее часто встречающихся нарушений обязательных требований при строительстве, реконструкции объектов капитального строительства, проверка соблюдения которых является предметом регионального государственного строительного надзора.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Типичными нарушениями обязательных требований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Нарушения, касающиеся организации и содержания строительной площадки, а также соблюдения требований безопасности при производстве работ: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Ограждение строительной площадки: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отсутствие ограждения;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расположение ограждения вне границ земельного участка, отведённого под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отсутствие защитных козырьков;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острые кромки ограждения;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применение ограждений, не отвечающих требованиям устойчивости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к внешним воздействиям;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отсутствие контроля на въезде/выезде с территории;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Отсутствие пункта мойки и чистки колёс на въезде/выезде </w:t>
      </w:r>
      <w:r>
        <w:rPr>
          <w:rFonts w:ascii="Times New Roman" w:hAnsi="Times New Roman" w:cs="Times New Roman"/>
          <w:sz w:val="28"/>
          <w:szCs w:val="28"/>
        </w:rPr>
        <w:br/>
        <w:t xml:space="preserve">с территории строительной площадки;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Складирование строительных материалов на строительной площадке;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Несвоевременный сбор и вывоз мусора (складирование мусора без использования емкостей, промывка емкостей автобетоновозов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оборудования непосредственно на грунт);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Отсутствие средств индивидуальной защиты (каски, монтажные пояса, спецодежда;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 Применение при производстве работ средств случайного подмащивания;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Отсутствие защитных ограждений в местах опасных перепадов высот;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 Отсутствие защитных сооружений-укрытий, защитных экранов при строительстве объектов с применением грузоподъемных кранов для ограничения возможного падения строительных материалов и других предметов с высоты;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Использование неинвентарных выносных площадок при производстве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 Отсутствие временного крепления откосов котлована;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 Расположение зон строительной площадки (складирование материалов, бытовой городок, проезды) в нарушение требований Стройгенплана;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 Отсутствие освещения территории;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 Отсутствие безопасных проходов к рабочим местам;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 Отсутствие журнала расстановки рабочих.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Нарушения в рамках осуществления строительного контроля: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Оформление исполнительной документации: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несвоевременное заполнение общего и специальных журналов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несвоевременное оформление актов освидетельствования скрытых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неполнота заполнения актов освидетельствования скрытых работ (подписи лиц, протоколы испытаний, паспорта и сертификаты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применённые материалы);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использование неутверждённых форм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Недостаточное заполнение раствором швов каменной кладки;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Некачественное заполнение раствором стыков стеновых панелей;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Монтаж вышележащих железобетонных конструкций в отсутствие замоноличенных швов конструкций нижнего яруса;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Отсутствие результатов испытаний бетона монолитных железобетонных конструкций в промежуточном возрасте, несвоевременное проведение испытаний;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Отсутствие результатов испытаний сварных соединений ответственных конструкций;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Отсутствие контроля за температурно-влажностным режимом выдерживания монолитных конструкций в зимний и летний период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Несоответствие рабочей документации, утверждённой проектной документации;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Несоответствие выполняемых работ требованиям проектной и рабочей документации: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применяемые материалы;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специальных мероприятий (наблюдения, мониторинг, испытания);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утверждённые проектные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Нарушения установленного порядка строительства, реконструкции объектов капитального строительства, указанных в части 2 статьи 54 ГрК РФ: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Строительство или реконструкция объекта капитального строительства без разрешения на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Несоответствие объекта капитального строительства параметрам, указанным в разрешении на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Несоответствие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застройки, документацией по планировке территории.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 w:eastAsiaTheme="majorEastAsia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 xml:space="preserve">3.2. Профилактика нарушений обязательных требований, анализ состояния подконтрольной среды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 2024 год инспекцией реализованы мероприятия программы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области на 2024 год (утверждена приказом инспекции от 19.12.2023 № 48).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27.02.2024 было проведено внеплановое публичное мероприятие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семинара-совещания в режиме ВКС с представителями администраций муниципальных районов Новосибирской области, в ходе которого осуществлено консультирование по вопросам осуществления регионального государственного строительного надзора,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том числе работа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br/>
        <w:t xml:space="preserve">с индикаторами рисков, подача извещений о начале строительства через ЕПГУ, работа с системой досудебного обжалования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Инспекция обеспечивает достоверность и актуальность всей информации, связанной с профилактикой нарушений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ajorEastAsia"/>
          <w:bCs/>
          <w:sz w:val="28"/>
          <w:szCs w:val="28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Контролируемые лица 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с содержанием, ведением и применением перечня обязательных требований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.</w:t>
      </w:r>
      <w:r>
        <w:rPr>
          <w:rFonts w:ascii="Times New Roman" w:hAnsi="Times New Roman" w:cs="Times New Roman" w:eastAsiaTheme="majorEastAsia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outlineLvl w:val="1"/>
      </w:pP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На официальном сайте инспекции в сети «Интернет» по адресу: http://gsn.nso.ru/page/328, действует подписка пользователей официального сайта на рассылку электронных сообщений с информацией связанной 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br/>
        <w:t xml:space="preserve">с профилактикой рисков причинения вреда, а также иной информации важной для контролируемых лиц.</w:t>
      </w:r>
      <w:r/>
    </w:p>
    <w:p>
      <w:pPr>
        <w:ind w:firstLine="709"/>
        <w:jc w:val="both"/>
        <w:spacing w:after="0" w:line="240" w:lineRule="auto"/>
        <w:outlineLvl w:val="1"/>
      </w:pP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В своей деятельности инспекция руководствуется приоритетом профилактических мероприятий по отношению к контрольным (надзорным) мероприятиям.</w:t>
      </w:r>
      <w:r/>
    </w:p>
    <w:p>
      <w:pPr>
        <w:ind w:firstLine="709"/>
        <w:jc w:val="both"/>
        <w:spacing w:after="0" w:line="240" w:lineRule="auto"/>
        <w:outlineLvl w:val="1"/>
      </w:pP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В результате реализации программы профилактики произошло повышение уровня информированности, правовой грамотности контролируемых лиц по вопросам соблюдения обязательных требований, что позволило регио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нальному государственному строительному надзору стать более открытым для взаимодействия с контролируемыми лицами в целях достижения общего для всех сторон результата – предотвращение рисков причинения вреда охраняемым законом ценностям в подконтрольной сфе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ре общественных отношений, предупреждение нарушений контролируемыми лицами обязательных требований и отвечать потребностям предпринимательской среды в получении качественной и доступной информации по возникающим вопросам соблюдения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ajorEastAsia"/>
          <w:bCs/>
          <w:sz w:val="28"/>
          <w:szCs w:val="28"/>
        </w:rPr>
        <w:outlineLvl w:val="1"/>
      </w:pP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С учетом вышеизложенного в 2024 году программой профилактики обеспечена эффективность профилактической работы инспекции.</w:t>
      </w:r>
      <w:r>
        <w:rPr>
          <w:rFonts w:ascii="Times New Roman" w:hAnsi="Times New Roman" w:cs="Times New Roman" w:eastAsiaTheme="majorEastAsia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 w:eastAsiaTheme="majorEastAsia"/>
          <w:b/>
          <w:bCs/>
          <w:color w:val="4f81bd" w:themeColor="accent1"/>
          <w:sz w:val="28"/>
          <w:szCs w:val="28"/>
        </w:rPr>
        <w:outlineLvl w:val="1"/>
      </w:pPr>
      <w:r>
        <w:rPr>
          <w:rFonts w:ascii="Times New Roman" w:hAnsi="Times New Roman" w:cs="Times New Roman" w:eastAsiaTheme="majorEastAsia"/>
          <w:b/>
          <w:bCs/>
          <w:color w:val="4f81bd" w:themeColor="accent1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4f81bd" w:themeColor="accen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 xml:space="preserve">3.3. Предложения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обобщения правоприменительной практики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регионального государственного строительного надзора не выявлено.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законодательство РФ </w:t>
      </w:r>
      <w:r>
        <w:rPr>
          <w:rFonts w:ascii="Times New Roman" w:hAnsi="Times New Roman" w:cs="Times New Roman"/>
          <w:sz w:val="28"/>
          <w:szCs w:val="28"/>
        </w:rPr>
        <w:br/>
        <w:t xml:space="preserve">о государственном контроле (надзоре)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недопущения возникновения нарушений обязательных требований необход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имо выполнять работы по строительству, реконструкции объектов капитального строительства в соответствии с требованиями утвержденной в соответствии с частями 15, 15.2 и 15.3 статьи 48 ГрК РФ проектной документации (в том числе с учетом изменений, внесенных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рабочую документацию и являющихся в соответствии с частью 1.3 статьи 52 ГрК РФ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ГрК РФ), своевременно вносить необходимые изменения в проектную документацию.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Особое внимание необходимо уделять качеству и своевременности осуществления строит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ельного контроля как со стороны лица, осуществляющего строительство, так и со стороны застройщика (технического заказчика), выполнению контроля качества выполнения строительно-монтажных работ, включающего в себя входной, операционный и приемочный контроль.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поступлении на строительную площадку строительных материалов, изделий качественно осуществлять входной контроль, который поможет предотвратить нарушения требований проектной документации.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обеспечивать своевременное устранение нарушений, выявленных в ходе строительного контроля и государственного строительного надзора, и не допускать продолжение выполнения работ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до составления актов об устранении выявленных нарушений согласно части 6 статьи 52 ГрК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постоянно повышать квалификацию инженерно-технического персонала, осуществляющего организацию и руководство процессом строительства.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недопущения нарушений обязательных требований, указанных в части 2 статьи 54 ГрК РФ, необходимо осуществлять строительство, реконструкцию таких объектов на основании разрешения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строительство, в соответствии с параметрами, указанными в разрешении на строительство, а в случае, если для строительства или реконструкции объекта не требуется разрешение на строительство,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с предельными параметрами разрешенного строительства, реконструкции объектов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ГрК РФ, другими федеральными законами.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26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695" w:default="1">
    <w:name w:val="Normal"/>
    <w:qFormat/>
    <w:pPr>
      <w:spacing w:after="200" w:line="276" w:lineRule="auto"/>
    </w:pPr>
    <w:rPr>
      <w:sz w:val="22"/>
    </w:rPr>
  </w:style>
  <w:style w:type="paragraph" w:styleId="696">
    <w:name w:val="Heading 1"/>
    <w:basedOn w:val="69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7">
    <w:name w:val="Heading 2"/>
    <w:basedOn w:val="695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8">
    <w:name w:val="Heading 3"/>
    <w:basedOn w:val="69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table" w:styleId="70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character" w:styleId="836">
    <w:name w:val="footnote reference"/>
    <w:basedOn w:val="705"/>
    <w:uiPriority w:val="99"/>
    <w:unhideWhenUsed/>
    <w:rPr>
      <w:vertAlign w:val="superscript"/>
    </w:rPr>
  </w:style>
  <w:style w:type="character" w:styleId="837">
    <w:name w:val="endnote reference"/>
    <w:basedOn w:val="705"/>
    <w:uiPriority w:val="99"/>
    <w:semiHidden/>
    <w:unhideWhenUsed/>
    <w:rPr>
      <w:vertAlign w:val="superscript"/>
    </w:rPr>
  </w:style>
  <w:style w:type="character" w:styleId="838" w:customStyle="1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839" w:customStyle="1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840" w:customStyle="1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841" w:customStyle="1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2" w:customStyle="1">
    <w:name w:val="Оглавление 2 Знак"/>
    <w:basedOn w:val="705"/>
    <w:link w:val="88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3" w:customStyle="1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4" w:customStyle="1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5" w:customStyle="1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6" w:customStyle="1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7" w:customStyle="1">
    <w:name w:val="Title Char"/>
    <w:basedOn w:val="705"/>
    <w:uiPriority w:val="10"/>
    <w:qFormat/>
    <w:rPr>
      <w:sz w:val="48"/>
      <w:szCs w:val="48"/>
    </w:rPr>
  </w:style>
  <w:style w:type="character" w:styleId="848" w:customStyle="1">
    <w:name w:val="Subtitle Char"/>
    <w:basedOn w:val="705"/>
    <w:uiPriority w:val="11"/>
    <w:qFormat/>
    <w:rPr>
      <w:sz w:val="24"/>
      <w:szCs w:val="24"/>
    </w:rPr>
  </w:style>
  <w:style w:type="character" w:styleId="849" w:customStyle="1">
    <w:name w:val="Quote Char"/>
    <w:uiPriority w:val="29"/>
    <w:qFormat/>
    <w:rPr>
      <w:i/>
    </w:rPr>
  </w:style>
  <w:style w:type="character" w:styleId="850" w:customStyle="1">
    <w:name w:val="Intense Quote Char"/>
    <w:uiPriority w:val="30"/>
    <w:qFormat/>
    <w:rPr>
      <w:i/>
    </w:rPr>
  </w:style>
  <w:style w:type="character" w:styleId="851" w:customStyle="1">
    <w:name w:val="Header Char"/>
    <w:basedOn w:val="705"/>
    <w:uiPriority w:val="99"/>
    <w:qFormat/>
  </w:style>
  <w:style w:type="character" w:styleId="852" w:customStyle="1">
    <w:name w:val="Footer Char"/>
    <w:basedOn w:val="705"/>
    <w:uiPriority w:val="99"/>
    <w:qFormat/>
  </w:style>
  <w:style w:type="character" w:styleId="853" w:customStyle="1">
    <w:name w:val="Caption Char"/>
    <w:uiPriority w:val="99"/>
    <w:qFormat/>
  </w:style>
  <w:style w:type="character" w:styleId="854" w:customStyle="1">
    <w:name w:val="Интернет-ссылка"/>
    <w:basedOn w:val="705"/>
    <w:uiPriority w:val="99"/>
    <w:unhideWhenUsed/>
    <w:rPr>
      <w:color w:val="0000ff"/>
      <w:u w:val="single"/>
    </w:rPr>
  </w:style>
  <w:style w:type="character" w:styleId="855" w:customStyle="1">
    <w:name w:val="Footnote Text Char"/>
    <w:uiPriority w:val="99"/>
    <w:qFormat/>
    <w:rPr>
      <w:sz w:val="18"/>
    </w:rPr>
  </w:style>
  <w:style w:type="character" w:styleId="856" w:customStyle="1">
    <w:name w:val="Привязка сноски"/>
    <w:rPr>
      <w:vertAlign w:val="superscript"/>
    </w:rPr>
  </w:style>
  <w:style w:type="character" w:styleId="857" w:customStyle="1">
    <w:name w:val="Footnote Characters"/>
    <w:basedOn w:val="705"/>
    <w:uiPriority w:val="99"/>
    <w:semiHidden/>
    <w:unhideWhenUsed/>
    <w:qFormat/>
    <w:rPr>
      <w:vertAlign w:val="superscript"/>
    </w:rPr>
  </w:style>
  <w:style w:type="character" w:styleId="858" w:customStyle="1">
    <w:name w:val="Endnote Text Char"/>
    <w:uiPriority w:val="99"/>
    <w:qFormat/>
    <w:rPr>
      <w:sz w:val="20"/>
    </w:rPr>
  </w:style>
  <w:style w:type="character" w:styleId="859" w:customStyle="1">
    <w:name w:val="Привязка концевой сноски"/>
    <w:rPr>
      <w:vertAlign w:val="superscript"/>
    </w:rPr>
  </w:style>
  <w:style w:type="character" w:styleId="860" w:customStyle="1">
    <w:name w:val="Endnote Characters"/>
    <w:uiPriority w:val="99"/>
    <w:semiHidden/>
    <w:unhideWhenUsed/>
    <w:qFormat/>
    <w:rPr>
      <w:vertAlign w:val="superscript"/>
    </w:rPr>
  </w:style>
  <w:style w:type="character" w:styleId="861" w:customStyle="1">
    <w:name w:val="Текст выноски Знак"/>
    <w:basedOn w:val="705"/>
    <w:uiPriority w:val="99"/>
    <w:semiHidden/>
    <w:qFormat/>
    <w:rPr>
      <w:rFonts w:ascii="Tahoma" w:hAnsi="Tahoma" w:cs="Tahoma"/>
      <w:sz w:val="16"/>
      <w:szCs w:val="16"/>
    </w:rPr>
  </w:style>
  <w:style w:type="character" w:styleId="862" w:customStyle="1">
    <w:name w:val="Верхний колонтитул Знак"/>
    <w:basedOn w:val="705"/>
    <w:uiPriority w:val="99"/>
    <w:qFormat/>
  </w:style>
  <w:style w:type="character" w:styleId="863" w:customStyle="1">
    <w:name w:val="Нижний колонтитул Знак"/>
    <w:basedOn w:val="705"/>
    <w:uiPriority w:val="99"/>
    <w:qFormat/>
  </w:style>
  <w:style w:type="character" w:styleId="864" w:customStyle="1">
    <w:name w:val="Текст сноски Знак"/>
    <w:basedOn w:val="705"/>
    <w:uiPriority w:val="99"/>
    <w:semiHidden/>
    <w:qFormat/>
    <w:rPr>
      <w:sz w:val="20"/>
      <w:szCs w:val="20"/>
    </w:rPr>
  </w:style>
  <w:style w:type="character" w:styleId="865">
    <w:name w:val="annotation reference"/>
    <w:basedOn w:val="705"/>
    <w:uiPriority w:val="99"/>
    <w:semiHidden/>
    <w:unhideWhenUsed/>
    <w:qFormat/>
    <w:rPr>
      <w:sz w:val="16"/>
      <w:szCs w:val="16"/>
    </w:rPr>
  </w:style>
  <w:style w:type="character" w:styleId="866" w:customStyle="1">
    <w:name w:val="Текст примечания Знак"/>
    <w:basedOn w:val="705"/>
    <w:uiPriority w:val="99"/>
    <w:semiHidden/>
    <w:qFormat/>
    <w:rPr>
      <w:sz w:val="20"/>
      <w:szCs w:val="20"/>
    </w:rPr>
  </w:style>
  <w:style w:type="character" w:styleId="867" w:customStyle="1">
    <w:name w:val="Тема примечания Знак"/>
    <w:basedOn w:val="866"/>
    <w:uiPriority w:val="99"/>
    <w:semiHidden/>
    <w:qFormat/>
    <w:rPr>
      <w:b/>
      <w:bCs/>
      <w:sz w:val="20"/>
      <w:szCs w:val="20"/>
    </w:rPr>
  </w:style>
  <w:style w:type="character" w:styleId="868" w:customStyle="1">
    <w:name w:val="Посещённая гиперссылка"/>
    <w:basedOn w:val="705"/>
    <w:uiPriority w:val="99"/>
    <w:semiHidden/>
    <w:unhideWhenUsed/>
    <w:rPr>
      <w:color w:val="800080" w:themeColor="followedHyperlink"/>
      <w:u w:val="single"/>
    </w:rPr>
  </w:style>
  <w:style w:type="character" w:styleId="869">
    <w:name w:val="Strong"/>
    <w:qFormat/>
    <w:rPr>
      <w:b/>
    </w:rPr>
  </w:style>
  <w:style w:type="paragraph" w:styleId="870" w:customStyle="1">
    <w:name w:val="Заголовок"/>
    <w:basedOn w:val="695"/>
    <w:next w:val="87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1">
    <w:name w:val="Body Text"/>
    <w:basedOn w:val="695"/>
    <w:pPr>
      <w:spacing w:after="140"/>
    </w:pPr>
  </w:style>
  <w:style w:type="paragraph" w:styleId="872">
    <w:name w:val="List"/>
    <w:basedOn w:val="871"/>
    <w:rPr>
      <w:rFonts w:cs="Droid Sans Devanagari"/>
    </w:rPr>
  </w:style>
  <w:style w:type="paragraph" w:styleId="873">
    <w:name w:val="Caption"/>
    <w:basedOn w:val="69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4">
    <w:name w:val="index heading"/>
    <w:basedOn w:val="695"/>
    <w:qFormat/>
    <w:pPr>
      <w:suppressLineNumbers/>
    </w:pPr>
    <w:rPr>
      <w:rFonts w:cs="Droid Sans Devanagari"/>
    </w:rPr>
  </w:style>
  <w:style w:type="paragraph" w:styleId="875">
    <w:name w:val="Title"/>
    <w:basedOn w:val="695"/>
    <w:uiPriority w:val="10"/>
    <w:qFormat/>
    <w:pPr>
      <w:contextualSpacing/>
      <w:spacing w:before="300"/>
    </w:pPr>
    <w:rPr>
      <w:sz w:val="48"/>
      <w:szCs w:val="48"/>
    </w:rPr>
  </w:style>
  <w:style w:type="paragraph" w:styleId="876">
    <w:name w:val="Subtitle"/>
    <w:basedOn w:val="695"/>
    <w:uiPriority w:val="11"/>
    <w:qFormat/>
    <w:pPr>
      <w:spacing w:before="200"/>
    </w:pPr>
    <w:rPr>
      <w:sz w:val="24"/>
      <w:szCs w:val="24"/>
    </w:rPr>
  </w:style>
  <w:style w:type="paragraph" w:styleId="877">
    <w:name w:val="Quote"/>
    <w:basedOn w:val="695"/>
    <w:uiPriority w:val="29"/>
    <w:qFormat/>
    <w:pPr>
      <w:ind w:left="720" w:right="720"/>
    </w:pPr>
    <w:rPr>
      <w:i/>
    </w:rPr>
  </w:style>
  <w:style w:type="paragraph" w:styleId="878">
    <w:name w:val="Intense Quote"/>
    <w:basedOn w:val="695"/>
    <w:link w:val="883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9">
    <w:name w:val="endnote text"/>
    <w:basedOn w:val="695"/>
    <w:uiPriority w:val="99"/>
    <w:semiHidden/>
    <w:unhideWhenUsed/>
    <w:pPr>
      <w:spacing w:after="0" w:line="240" w:lineRule="auto"/>
    </w:pPr>
    <w:rPr>
      <w:sz w:val="20"/>
    </w:rPr>
  </w:style>
  <w:style w:type="paragraph" w:styleId="880">
    <w:name w:val="toc 1"/>
    <w:basedOn w:val="695"/>
    <w:uiPriority w:val="39"/>
    <w:unhideWhenUsed/>
    <w:pPr>
      <w:spacing w:after="57"/>
    </w:pPr>
  </w:style>
  <w:style w:type="paragraph" w:styleId="881">
    <w:name w:val="toc 2"/>
    <w:basedOn w:val="695"/>
    <w:link w:val="842"/>
    <w:uiPriority w:val="39"/>
    <w:unhideWhenUsed/>
    <w:pPr>
      <w:ind w:left="283"/>
      <w:spacing w:after="57"/>
    </w:pPr>
  </w:style>
  <w:style w:type="paragraph" w:styleId="882">
    <w:name w:val="toc 3"/>
    <w:basedOn w:val="695"/>
    <w:uiPriority w:val="39"/>
    <w:unhideWhenUsed/>
    <w:pPr>
      <w:ind w:left="567"/>
      <w:spacing w:after="57"/>
    </w:pPr>
  </w:style>
  <w:style w:type="paragraph" w:styleId="883">
    <w:name w:val="toc 4"/>
    <w:basedOn w:val="695"/>
    <w:link w:val="878"/>
    <w:uiPriority w:val="39"/>
    <w:unhideWhenUsed/>
    <w:pPr>
      <w:ind w:left="850"/>
      <w:spacing w:after="57"/>
    </w:pPr>
  </w:style>
  <w:style w:type="paragraph" w:styleId="884">
    <w:name w:val="toc 5"/>
    <w:basedOn w:val="695"/>
    <w:uiPriority w:val="39"/>
    <w:unhideWhenUsed/>
    <w:pPr>
      <w:ind w:left="1134"/>
      <w:spacing w:after="57"/>
    </w:pPr>
  </w:style>
  <w:style w:type="paragraph" w:styleId="885">
    <w:name w:val="toc 6"/>
    <w:basedOn w:val="695"/>
    <w:uiPriority w:val="39"/>
    <w:unhideWhenUsed/>
    <w:pPr>
      <w:ind w:left="1417"/>
      <w:spacing w:after="57"/>
    </w:pPr>
  </w:style>
  <w:style w:type="paragraph" w:styleId="886">
    <w:name w:val="toc 7"/>
    <w:basedOn w:val="695"/>
    <w:uiPriority w:val="39"/>
    <w:unhideWhenUsed/>
    <w:pPr>
      <w:ind w:left="1701"/>
      <w:spacing w:after="57"/>
    </w:pPr>
  </w:style>
  <w:style w:type="paragraph" w:styleId="887">
    <w:name w:val="toc 8"/>
    <w:basedOn w:val="695"/>
    <w:uiPriority w:val="39"/>
    <w:unhideWhenUsed/>
    <w:pPr>
      <w:ind w:left="1984"/>
      <w:spacing w:after="57"/>
    </w:pPr>
  </w:style>
  <w:style w:type="paragraph" w:styleId="888">
    <w:name w:val="toc 9"/>
    <w:basedOn w:val="695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  <w:qFormat/>
    <w:rPr>
      <w:sz w:val="22"/>
    </w:rPr>
  </w:style>
  <w:style w:type="paragraph" w:styleId="890">
    <w:name w:val="table of figures"/>
    <w:basedOn w:val="695"/>
    <w:uiPriority w:val="99"/>
    <w:unhideWhenUsed/>
    <w:qFormat/>
    <w:pPr>
      <w:spacing w:after="0"/>
    </w:pPr>
  </w:style>
  <w:style w:type="paragraph" w:styleId="891" w:customStyle="1">
    <w:name w:val="Default"/>
    <w:qFormat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892">
    <w:name w:val="List Paragraph"/>
    <w:basedOn w:val="695"/>
    <w:uiPriority w:val="34"/>
    <w:qFormat/>
    <w:pPr>
      <w:contextualSpacing/>
      <w:ind w:left="720"/>
    </w:pPr>
  </w:style>
  <w:style w:type="paragraph" w:styleId="893" w:customStyle="1">
    <w:name w:val="Стиль"/>
    <w:qFormat/>
    <w:pPr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4">
    <w:name w:val="Balloon Text"/>
    <w:basedOn w:val="69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95" w:customStyle="1">
    <w:name w:val="ConsPlusNormal"/>
    <w:qFormat/>
    <w:rPr>
      <w:rFonts w:ascii="Arial" w:hAnsi="Arial" w:cs="Arial"/>
      <w:sz w:val="22"/>
      <w:szCs w:val="20"/>
    </w:rPr>
  </w:style>
  <w:style w:type="paragraph" w:styleId="896" w:customStyle="1">
    <w:name w:val="Верхний и нижний колонтитулы"/>
    <w:basedOn w:val="695"/>
    <w:qFormat/>
  </w:style>
  <w:style w:type="paragraph" w:styleId="897">
    <w:name w:val="Header"/>
    <w:basedOn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98">
    <w:name w:val="Footer"/>
    <w:basedOn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99">
    <w:name w:val="No Spacing"/>
    <w:uiPriority w:val="1"/>
    <w:qFormat/>
    <w:rPr>
      <w:sz w:val="22"/>
    </w:rPr>
  </w:style>
  <w:style w:type="paragraph" w:styleId="900">
    <w:name w:val="footnote text"/>
    <w:basedOn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901">
    <w:name w:val="annotation text"/>
    <w:basedOn w:val="69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902">
    <w:name w:val="annotation subject"/>
    <w:basedOn w:val="901"/>
    <w:uiPriority w:val="99"/>
    <w:semiHidden/>
    <w:unhideWhenUsed/>
    <w:qFormat/>
    <w:rPr>
      <w:b/>
      <w:bCs/>
    </w:rPr>
  </w:style>
  <w:style w:type="paragraph" w:styleId="903" w:customStyle="1">
    <w:name w:val="formattext"/>
    <w:basedOn w:val="695"/>
    <w:qFormat/>
    <w:pPr>
      <w:spacing w:beforeAutospacing="1" w:afterAutospacing="1" w:line="240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4" w:customStyle="1">
    <w:name w:val="Содержимое таблицы"/>
    <w:basedOn w:val="695"/>
    <w:qFormat/>
    <w:pPr>
      <w:suppressLineNumbers/>
    </w:pPr>
  </w:style>
  <w:style w:type="paragraph" w:styleId="905" w:customStyle="1">
    <w:name w:val="Заголовок таблицы"/>
    <w:basedOn w:val="904"/>
    <w:qFormat/>
    <w:pPr>
      <w:jc w:val="center"/>
    </w:pPr>
    <w:rPr>
      <w:b/>
      <w:bCs/>
    </w:rPr>
  </w:style>
  <w:style w:type="paragraph" w:styleId="906" w:customStyle="1">
    <w:name w:val="western"/>
    <w:basedOn w:val="695"/>
    <w:qFormat/>
    <w:pPr>
      <w:spacing w:after="0"/>
    </w:pPr>
  </w:style>
  <w:style w:type="table" w:styleId="907" w:customStyle="1">
    <w:name w:val="Сетка таблицы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hart" Target="charts/chart1.xml" /><Relationship Id="rId14" Type="http://schemas.openxmlformats.org/officeDocument/2006/relationships/chart" Target="charts/chart2.xml" /><Relationship Id="rId15" Type="http://schemas.openxmlformats.org/officeDocument/2006/relationships/chart" Target="charts/chart3.xml" /><Relationship Id="rId16" Type="http://schemas.openxmlformats.org/officeDocument/2006/relationships/chart" Target="charts/chart4.xml" /><Relationship Id="rId17" Type="http://schemas.openxmlformats.org/officeDocument/2006/relationships/chart" Target="charts/chart5.xml" /><Relationship Id="rId18" Type="http://schemas.openxmlformats.org/officeDocument/2006/relationships/chart" Target="charts/chart6.xml" /><Relationship Id="rId19" Type="http://schemas.openxmlformats.org/officeDocument/2006/relationships/chart" Target="charts/chart7.xml" /><Relationship Id="rId20" Type="http://schemas.openxmlformats.org/officeDocument/2006/relationships/chart" Target="charts/chart8.xml" /><Relationship Id="rId21" Type="http://schemas.openxmlformats.org/officeDocument/2006/relationships/chart" Target="charts/chart9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strike="noStrike" spc="0">
                <a:solidFill>
                  <a:srgbClr val="000000"/>
                </a:solidFill>
                <a:latin typeface="Times New Roman"/>
                <a:ea typeface="Arial"/>
              </a:rPr>
              <a:t>Рисунок 1. Динамика выданных инспекцией предписаний об устранении нарушений 2023, 2024</a:t>
            </a:r>
            <a:endParaRPr lang="ru-RU"/>
          </a:p>
        </c:rich>
      </c:tx>
      <c:layout>
        <c:manualLayout>
          <c:xMode val="edge"/>
          <c:yMode val="edge"/>
          <c:x val="0.105205"/>
          <c:y val="0.038355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Lbls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Лист1!$D$48:$E$48</c:f>
              <c:strCache>
                <c:ptCount val="2"/>
                <c:pt idx="0">
                  <c:v xml:space="preserve">Всего предписаний в 2023 году</c:v>
                </c:pt>
                <c:pt idx="1">
                  <c:v xml:space="preserve">Всего предписаний в 2024 году</c:v>
                </c:pt>
              </c:strCache>
            </c:strRef>
          </c:cat>
          <c:val>
            <c:numRef>
              <c:f>Лист1!$D$49:$E$49</c:f>
              <c:numCache>
                <c:formatCode>General</c:formatCode>
                <c:ptCount val="2"/>
                <c:pt idx="0">
                  <c:v>572</c:v>
                </c:pt>
                <c:pt idx="1">
                  <c:v>483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4646606" cy="246167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00"/>
                </a:solidFill>
              </a:defRPr>
            </a:pPr>
            <a:r>
              <a:rPr lang="ru-RU" sz="1200" b="1" strike="noStrike" spc="0">
                <a:solidFill>
                  <a:srgbClr val="000000"/>
                </a:solidFill>
                <a:latin typeface="Times New Roman"/>
                <a:ea typeface="Arial"/>
              </a:rPr>
              <a:t>Рисунок 2. Динамика согласований с прокуратурой НСО за 2023, 2024</a:t>
            </a:r>
            <a:endParaRPr lang="ru-RU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0.195923"/>
          <c:y val="0.019028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2510"/>
          <c:y val="0.202040"/>
          <c:w val="0.869820"/>
          <c:h val="0.50356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Лист1!$D$103</c:f>
              <c:strCache>
                <c:ptCount val="1"/>
                <c:pt idx="0">
                  <c:v>01.01.2024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Лист1!$C$104:$C$107</c:f>
              <c:strCache>
                <c:ptCount val="4"/>
                <c:pt idx="0">
                  <c:v xml:space="preserve">Согласовано заявлений </c:v>
                </c:pt>
                <c:pt idx="1">
                  <c:v xml:space="preserve">Отказано в согласовании заявлений</c:v>
                </c:pt>
                <c:pt idx="2">
                  <c:v xml:space="preserve">Возвращено  заявлений</c:v>
                </c:pt>
                <c:pt idx="3">
                  <c:v xml:space="preserve">Всего направлено инспекцией заявлений</c:v>
                </c:pt>
              </c:strCache>
            </c:strRef>
          </c:cat>
          <c:val>
            <c:numRef>
              <c:f>Лист1!$D$104:$D$107</c:f>
              <c:numCache>
                <c:formatCode>General</c:formatCode>
                <c:ptCount val="4"/>
                <c:pt idx="0">
                  <c:v>18</c:v>
                </c:pt>
                <c:pt idx="1">
                  <c:v>49</c:v>
                </c:pt>
                <c:pt idx="2">
                  <c:v>0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Лист1!$E$103</c:f>
              <c:strCache>
                <c:ptCount val="1"/>
                <c:pt idx="0">
                  <c:v>01.01.2025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Лист1!$C$104:$C$107</c:f>
              <c:strCache>
                <c:ptCount val="4"/>
                <c:pt idx="0">
                  <c:v xml:space="preserve">Согласовано заявлений </c:v>
                </c:pt>
                <c:pt idx="1">
                  <c:v xml:space="preserve">Отказано в согласовании заявлений</c:v>
                </c:pt>
                <c:pt idx="2">
                  <c:v xml:space="preserve">Возвращено  заявлений</c:v>
                </c:pt>
                <c:pt idx="3">
                  <c:v xml:space="preserve">Всего направлено инспекцией заявлений</c:v>
                </c:pt>
              </c:strCache>
            </c:strRef>
          </c:cat>
          <c:val>
            <c:numRef>
              <c:f>Лист1!$E$104:$E$107</c:f>
              <c:numCache>
                <c:formatCode>General</c:formatCode>
                <c:ptCount val="4"/>
                <c:pt idx="0">
                  <c:v>8</c:v>
                </c:pt>
                <c:pt idx="1">
                  <c:v>37</c:v>
                </c:pt>
                <c:pt idx="2">
                  <c:v>0</c:v>
                </c:pt>
                <c:pt idx="3">
                  <c:v>45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4"/>
        <c:axId val="448905600"/>
        <c:axId val="448907136"/>
      </c:barChart>
      <c:catAx>
        <c:axId val="44890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rgbClr val="000000"/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448907136"/>
        <c:crosses val="autoZero"/>
        <c:auto val="1"/>
        <c:lblAlgn val="ctr"/>
        <c:lblOffset val="100"/>
        <c:tickMarkSkip val="1"/>
        <c:noMultiLvlLbl val="0"/>
      </c:catAx>
      <c:valAx>
        <c:axId val="44890713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rgbClr val="000000"/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448905600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rgbClr val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4576296" cy="289953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Рисунок 4. Структура и количество обращений, поступивших в адрес</a:t>
            </a:r>
            <a:endParaRPr lang="ru-RU"/>
          </a:p>
          <a:p>
            <a:pPr algn="ctr">
              <a:defRPr sz="1200"/>
            </a:pPr>
            <a:r>
              <a:rPr lang="ru-RU" sz="1200"/>
              <a:t> инспекции государственного строительного надзора</a:t>
            </a:r>
            <a:endParaRPr lang="ru-RU"/>
          </a:p>
          <a:p>
            <a:pPr algn="ctr">
              <a:defRPr sz="1200"/>
            </a:pPr>
            <a:r>
              <a:rPr lang="ru-RU" sz="1200"/>
              <a:t> Новосибирской области</a:t>
            </a:r>
            <a:endParaRPr lang="ru-RU"/>
          </a:p>
        </c:rich>
      </c:tx>
      <c:layout>
        <c:manualLayout>
          <c:xMode val="edge"/>
          <c:yMode val="edge"/>
          <c:x val="0.113460"/>
          <c:y val="0.02669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 xml:space="preserve">Всего обращений</c:v>
                </c:pt>
                <c:pt idx="1">
                  <c:v xml:space="preserve">Письменные обращения</c:v>
                </c:pt>
                <c:pt idx="2">
                  <c:v xml:space="preserve">Личный прием граждан</c:v>
                </c:pt>
                <c:pt idx="3">
                  <c:v xml:space="preserve"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935</c:v>
                </c:pt>
                <c:pt idx="1">
                  <c:v>894</c:v>
                </c:pt>
                <c:pt idx="2">
                  <c:v>38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 xml:space="preserve">Всего обращений</c:v>
                </c:pt>
                <c:pt idx="1">
                  <c:v xml:space="preserve">Письменные обращения</c:v>
                </c:pt>
                <c:pt idx="2">
                  <c:v xml:space="preserve">Личный прием граждан</c:v>
                </c:pt>
                <c:pt idx="3">
                  <c:v xml:space="preserve"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751</c:v>
                </c:pt>
                <c:pt idx="1">
                  <c:v>728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 xml:space="preserve">Всего обращений</c:v>
                </c:pt>
                <c:pt idx="1">
                  <c:v xml:space="preserve">Письменные обращения</c:v>
                </c:pt>
                <c:pt idx="2">
                  <c:v xml:space="preserve">Личный прием граждан</c:v>
                </c:pt>
                <c:pt idx="3">
                  <c:v xml:space="preserve"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690</c:v>
                </c:pt>
                <c:pt idx="1">
                  <c:v>660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333270400"/>
        <c:axId val="333272192"/>
      </c:barChart>
      <c:catAx>
        <c:axId val="333270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333272192"/>
        <c:crosses val="autoZero"/>
        <c:auto val="1"/>
        <c:lblAlgn val="ctr"/>
        <c:lblOffset val="100"/>
        <c:noMultiLvlLbl val="0"/>
      </c:catAx>
      <c:valAx>
        <c:axId val="33327219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333270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Рисунок 5. Количество письменных обращений, поступивших в адрес</a:t>
            </a:r>
            <a:endParaRPr lang="ru-RU"/>
          </a:p>
          <a:p>
            <a:pPr>
              <a:defRPr sz="1200"/>
            </a:pPr>
            <a:r>
              <a:rPr lang="ru-RU" sz="1200"/>
              <a:t>инспекции государственного строительного надзора</a:t>
            </a:r>
            <a:endParaRPr lang="ru-RU"/>
          </a:p>
          <a:p>
            <a:pPr>
              <a:defRPr sz="1200"/>
            </a:pPr>
            <a:r>
              <a:rPr lang="ru-RU" sz="1200"/>
              <a:t>Новосибирской области</a:t>
            </a:r>
            <a:endParaRPr lang="ru-RU"/>
          </a:p>
        </c:rich>
      </c:tx>
      <c:layout>
        <c:manualLayout>
          <c:xMode val="edge"/>
          <c:yMode val="edge"/>
          <c:x val="0.121740"/>
          <c:y val="0.00000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70360"/>
          <c:y val="0.345030"/>
          <c:w val="0.886590"/>
          <c:h val="0.53392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894</c:v>
                </c:pt>
                <c:pt idx="1">
                  <c:v>728</c:v>
                </c:pt>
                <c:pt idx="2">
                  <c:v>660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75"/>
        <c:shape val="box"/>
        <c:axId val="333293440"/>
        <c:axId val="333294976"/>
      </c:bar3DChart>
      <c:catAx>
        <c:axId val="33329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3294976"/>
        <c:crosses val="autoZero"/>
        <c:auto val="1"/>
        <c:lblAlgn val="ctr"/>
        <c:lblOffset val="100"/>
        <c:noMultiLvlLbl val="0"/>
      </c:catAx>
      <c:valAx>
        <c:axId val="333294976"/>
        <c:scaling>
          <c:orientation val="minMax"/>
          <c:max val="1000.000000"/>
          <c:min val="0.000000"/>
        </c:scaling>
        <c:delete val="0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333293440"/>
        <c:crosses val="autoZero"/>
        <c:crossBetween val="between"/>
        <c:majorUnit val="500.000000"/>
        <c:minorUnit val="0.100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Рисунок 6. Виды письменных обращений, поступивших в инспекцию государственного строительного надзора Новосибирской области</a:t>
            </a:r>
            <a:endParaRPr lang="ru-RU"/>
          </a:p>
        </c:rich>
      </c:tx>
      <c:layout>
        <c:manualLayout>
          <c:xMode val="edge"/>
          <c:yMode val="edge"/>
          <c:x val="0.142130"/>
          <c:y val="0.06600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720"/>
          <c:y val="0.314650"/>
          <c:w val="0.862300"/>
          <c:h val="0.41116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 xml:space="preserve"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914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 xml:space="preserve"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711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 xml:space="preserve"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637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448907137"/>
        <c:axId val="448907138"/>
      </c:barChart>
      <c:catAx>
        <c:axId val="44890713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8907138"/>
        <c:crosses val="autoZero"/>
        <c:auto val="1"/>
        <c:lblAlgn val="ctr"/>
        <c:lblOffset val="100"/>
        <c:noMultiLvlLbl val="0"/>
      </c:catAx>
      <c:valAx>
        <c:axId val="448907138"/>
        <c:scaling>
          <c:orientation val="minMax"/>
        </c:scaling>
        <c:delete val="0"/>
        <c:axPos val="l"/>
        <c:majorGridlines>
          <c:spPr bwMode="auto"/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</a:t>
                </a:r>
                <a:endParaRPr/>
              </a:p>
            </c:rich>
          </c:tx>
          <c:layout>
            <c:manualLayout>
              <c:x val="-0.024480"/>
              <c:y val="-0.004300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48907137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Рисунок 7. Структура вопросов, содержащихся в обращениях, поступивших в 2024 году</a:t>
            </a:r>
            <a:endParaRPr lang="ru-RU"/>
          </a:p>
        </c:rich>
      </c:tx>
      <c:layout>
        <c:manualLayout>
          <c:xMode val="edge"/>
          <c:yMode val="edge"/>
          <c:x val="0.171970"/>
          <c:y val="0.047610"/>
        </c:manualLayout>
      </c:layout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Структура вопросв, содержащихся в обращениях, поступивших в 2024 году</c:v>
                </c:pt>
              </c:strCache>
            </c:strRef>
          </c:tx>
          <c:explosion val="25"/>
          <c:dLbls>
            <c:showBubbleSize val="0"/>
            <c:showCatName val="0"/>
            <c:showLeaderLines val="1"/>
            <c:showLegendKey val="0"/>
            <c:showPercent val="1"/>
            <c:showSerName val="0"/>
            <c:showVal val="0"/>
          </c:dLbls>
          <c:cat>
            <c:strRef>
              <c:f>Лист1!$A$2:$A$6</c:f>
              <c:strCache>
                <c:ptCount val="5"/>
                <c:pt idx="0">
                  <c:v xml:space="preserve">устранение строительных недочетов</c:v>
                </c:pt>
                <c:pt idx="1">
                  <c:v xml:space="preserve">несогласие граждан со строительством</c:v>
                </c:pt>
                <c:pt idx="2">
                  <c:v xml:space="preserve">негативное влияние нового строительства</c:v>
                </c:pt>
                <c:pt idx="3">
                  <c:v xml:space="preserve">нарушения на строительных площадках</c:v>
                </c:pt>
                <c:pt idx="4">
                  <c:v xml:space="preserve">самовольное строительство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</c:v>
                </c:pt>
                <c:pt idx="1">
                  <c:v>100</c:v>
                </c:pt>
                <c:pt idx="2">
                  <c:v>100</c:v>
                </c:pt>
                <c:pt idx="3">
                  <c:v>250</c:v>
                </c:pt>
                <c:pt idx="4">
                  <c:v>165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1"/>
          <c:showSerName val="0"/>
          <c:showVal val="0"/>
        </c:dLbls>
      </c:pie3DChart>
    </c:plotArea>
    <c:legend>
      <c:legendPos val="r"/>
      <c:layout>
        <c:manualLayout>
          <c:xMode val="edge"/>
          <c:yMode val="edge"/>
          <c:x val="0.640730"/>
          <c:y val="0.204700"/>
          <c:w val="0.320180"/>
          <c:h val="0.597780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Рисунок 8. Динамика роста/снижения количества обращений на личном приеме</a:t>
            </a:r>
            <a:endParaRPr lang="ru-RU"/>
          </a:p>
        </c:rich>
      </c:tx>
      <c:layout>
        <c:manualLayout>
          <c:xMode val="edge"/>
          <c:yMode val="edge"/>
          <c:x val="0.130680"/>
          <c:y val="0.04307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15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95"/>
        <c:gapDepth val="95"/>
        <c:shape val="box"/>
        <c:axId val="333895936"/>
        <c:axId val="333910016"/>
      </c:bar3DChart>
      <c:catAx>
        <c:axId val="3338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3910016"/>
        <c:crosses val="autoZero"/>
        <c:auto val="1"/>
        <c:lblAlgn val="ctr"/>
        <c:lblOffset val="100"/>
        <c:noMultiLvlLbl val="0"/>
      </c:catAx>
      <c:valAx>
        <c:axId val="333910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389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Рисунок 9. О количестве устных сообщений и запросов, поступивших в адрес инспекции государственного строительного надзора Новосибирской области</a:t>
            </a:r>
            <a:endParaRPr lang="ru-RU"/>
          </a:p>
        </c:rich>
      </c:tx>
      <c:layout>
        <c:manualLayout>
          <c:xMode val="edge"/>
          <c:yMode val="edge"/>
          <c:x val="0.135310"/>
          <c:y val="0.08354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30160"/>
          <c:y val="0.266550"/>
          <c:w val="0.943200"/>
          <c:h val="0.586260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95"/>
        <c:gapDepth val="95"/>
        <c:shape val="box"/>
        <c:axId val="333933568"/>
        <c:axId val="333951744"/>
      </c:bar3DChart>
      <c:catAx>
        <c:axId val="33393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3951744"/>
        <c:crosses val="autoZero"/>
        <c:auto val="1"/>
        <c:lblAlgn val="ctr"/>
        <c:lblOffset val="100"/>
        <c:noMultiLvlLbl val="0"/>
      </c:catAx>
      <c:valAx>
        <c:axId val="333951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3933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Рисунок 10. Виды административных наказаний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за совершение административных правонарушений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на 01.01.2025 г.</a:t>
            </a:r>
            <a:endParaRPr lang="ru-RU"/>
          </a:p>
        </c:rich>
      </c:tx>
      <c:layout>
        <c:manualLayout>
          <c:xMode val="edge"/>
          <c:yMode val="edge"/>
          <c:x val="0.165230"/>
          <c:y val="0.02578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7460"/>
          <c:y val="0.189470"/>
          <c:w val="0.642760"/>
          <c:h val="0.44488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Всего постановлений/решений инспекции по состоянию на 01.01.2025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160"/>
                  <c:y val="0.0062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0680"/>
                  <c:y val="0.0045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2330"/>
                  <c:y val="0.00843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0000"/>
                  <c:y val="0.0112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255</c:v>
                </c:pt>
                <c:pt idx="1">
                  <c:v>269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Всего постановлений/решений судов на 01.01.2025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750"/>
                  <c:y val="0.0071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2980"/>
                  <c:y val="0.0086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7580"/>
                  <c:y val="0.0049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1750"/>
                  <c:y val="0.0042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333969280"/>
        <c:axId val="333970816"/>
      </c:barChart>
      <c:catAx>
        <c:axId val="33396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333970816"/>
        <c:crosses val="autoZero"/>
        <c:auto val="1"/>
        <c:lblAlgn val="ctr"/>
        <c:lblOffset val="100"/>
        <c:noMultiLvlLbl val="0"/>
      </c:catAx>
      <c:valAx>
        <c:axId val="333970816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33396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890"/>
          <c:y val="0.278320"/>
          <c:w val="0.223960"/>
          <c:h val="0.501390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082EED-725F-485C-8344-229CA062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dc:language>ru-RU</dc:language>
  <cp:revision>3</cp:revision>
  <dcterms:created xsi:type="dcterms:W3CDTF">2025-02-14T05:23:00Z</dcterms:created>
  <dcterms:modified xsi:type="dcterms:W3CDTF">2025-02-14T06:00:10Z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