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5"/>
        <w:ind w:firstLine="540"/>
        <w:jc w:val="both"/>
        <w:outlineLvl w:val="0"/>
      </w:pPr>
      <w:r>
        <w:rPr>
          <w:sz w:val="24"/>
        </w:rPr>
      </w:r>
      <w:r/>
    </w:p>
    <w:p>
      <w:pPr>
        <w:pStyle w:val="1027"/>
        <w:jc w:val="center"/>
        <w:outlineLvl w:val="0"/>
      </w:pPr>
      <w:r>
        <w:rPr>
          <w:sz w:val="24"/>
        </w:rPr>
        <w:t xml:space="preserve">ПРАВИТЕЛЬСТВО НОВОСИБИРСКОЙ ОБЛАСТИ</w:t>
      </w:r>
      <w:r/>
    </w:p>
    <w:p>
      <w:pPr>
        <w:pStyle w:val="1027"/>
        <w:ind w:firstLine="540"/>
        <w:jc w:val="both"/>
      </w:pPr>
      <w:r>
        <w:rPr>
          <w:sz w:val="24"/>
        </w:rPr>
      </w:r>
      <w:r/>
    </w:p>
    <w:p>
      <w:pPr>
        <w:pStyle w:val="1027"/>
        <w:jc w:val="center"/>
      </w:pPr>
      <w:r>
        <w:rPr>
          <w:sz w:val="24"/>
        </w:rPr>
        <w:t xml:space="preserve">ПОСТАНОВЛЕНИЕ</w:t>
      </w:r>
      <w:r/>
    </w:p>
    <w:p>
      <w:pPr>
        <w:pStyle w:val="1027"/>
        <w:jc w:val="center"/>
      </w:pPr>
      <w:r>
        <w:rPr>
          <w:sz w:val="24"/>
        </w:rPr>
        <w:t xml:space="preserve">от 5 августа 2025 г. N 367-п</w:t>
      </w:r>
      <w:r/>
    </w:p>
    <w:p>
      <w:pPr>
        <w:pStyle w:val="1027"/>
        <w:ind w:firstLine="540"/>
        <w:jc w:val="both"/>
      </w:pPr>
      <w:r>
        <w:rPr>
          <w:sz w:val="24"/>
        </w:rPr>
      </w:r>
      <w:r/>
    </w:p>
    <w:p>
      <w:pPr>
        <w:pStyle w:val="1027"/>
        <w:jc w:val="center"/>
      </w:pPr>
      <w:r>
        <w:rPr>
          <w:sz w:val="24"/>
        </w:rPr>
        <w:t xml:space="preserve">О ВНЕСЕНИИ ИЗМЕНЕНИЯ В ПОСТАНОВЛЕНИЕ ПРАВИТЕЛЬСТВА</w:t>
      </w:r>
      <w:r/>
    </w:p>
    <w:p>
      <w:pPr>
        <w:pStyle w:val="1027"/>
        <w:jc w:val="center"/>
      </w:pPr>
      <w:r>
        <w:rPr>
          <w:sz w:val="24"/>
        </w:rPr>
        <w:t xml:space="preserve">НОВОСИБИРСКОЙ ОБЛАСТИ ОТ 30.12.2021 N 574-П</w:t>
      </w:r>
      <w:r/>
    </w:p>
    <w:p>
      <w:pPr>
        <w:pStyle w:val="1025"/>
        <w:ind w:firstLine="540"/>
        <w:jc w:val="both"/>
      </w:pPr>
      <w:r>
        <w:rPr>
          <w:sz w:val="24"/>
        </w:rPr>
      </w:r>
      <w:r/>
    </w:p>
    <w:p>
      <w:pPr>
        <w:pStyle w:val="1025"/>
        <w:ind w:firstLine="540"/>
        <w:jc w:val="both"/>
      </w:pPr>
      <w:r>
        <w:rPr>
          <w:sz w:val="24"/>
        </w:rPr>
        <w:t xml:space="preserve">Правительство Новосибирской области постановляет:</w:t>
      </w:r>
      <w:r/>
    </w:p>
    <w:p>
      <w:pPr>
        <w:pStyle w:val="1025"/>
        <w:ind w:firstLine="540"/>
        <w:jc w:val="both"/>
        <w:spacing w:before="240"/>
      </w:pPr>
      <w:r>
        <w:rPr>
          <w:sz w:val="24"/>
        </w:rPr>
        <w:t xml:space="preserve">1. Внести в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</w:t>
      </w:r>
      <w:r>
        <w:rPr>
          <w:sz w:val="24"/>
        </w:rPr>
        <w:t xml:space="preserve">ельства Новосибирской области от 30.12.2021 N 574-п "Об утверждении перечня индикаторов риска нарушения обязательных требований при осуществлении регионального государственного строительного надзора на территории Новосибирской области" следующее изменение:</w:t>
      </w:r>
      <w:r/>
    </w:p>
    <w:p>
      <w:pPr>
        <w:pStyle w:val="1025"/>
        <w:ind w:firstLine="540"/>
        <w:jc w:val="both"/>
        <w:spacing w:before="240"/>
      </w:pPr>
      <w:r>
        <w:rPr>
          <w:sz w:val="24"/>
        </w:rPr>
        <w:t xml:space="preserve">Перечень</w:t>
      </w:r>
      <w:r>
        <w:rPr>
          <w:sz w:val="24"/>
        </w:rPr>
        <w:t xml:space="preserve"> индикаторов риска нарушения обязательных требований при осуществлении регионального государственного строительного надзора на территории Новосибирской области изложить в редакции согласно </w:t>
      </w:r>
      <w:r>
        <w:rPr>
          <w:sz w:val="24"/>
        </w:rPr>
        <w:t xml:space="preserve">приложению</w:t>
      </w:r>
      <w:r>
        <w:rPr>
          <w:sz w:val="24"/>
        </w:rPr>
        <w:t xml:space="preserve"> к настоящему постановлению.</w:t>
      </w:r>
      <w:r/>
    </w:p>
    <w:p>
      <w:pPr>
        <w:pStyle w:val="1025"/>
        <w:ind w:firstLine="540"/>
        <w:jc w:val="both"/>
        <w:spacing w:before="240"/>
      </w:pPr>
      <w:r>
        <w:rPr>
          <w:sz w:val="24"/>
        </w:rPr>
        <w:t xml:space="preserve">2. Настоящее постановление вступает в силу с 1 сентября 2025 года.</w:t>
      </w:r>
      <w:r/>
    </w:p>
    <w:p>
      <w:pPr>
        <w:pStyle w:val="1025"/>
        <w:ind w:firstLine="540"/>
        <w:jc w:val="both"/>
      </w:pPr>
      <w:r>
        <w:rPr>
          <w:sz w:val="24"/>
        </w:rPr>
      </w:r>
      <w:r/>
    </w:p>
    <w:p>
      <w:pPr>
        <w:pStyle w:val="1025"/>
        <w:jc w:val="right"/>
      </w:pPr>
      <w:r>
        <w:rPr>
          <w:sz w:val="24"/>
        </w:rPr>
        <w:t xml:space="preserve">И.о. Губернатора Новосибирской области</w:t>
      </w:r>
      <w:r/>
    </w:p>
    <w:p>
      <w:pPr>
        <w:pStyle w:val="1025"/>
        <w:jc w:val="right"/>
      </w:pPr>
      <w:r>
        <w:rPr>
          <w:sz w:val="24"/>
        </w:rPr>
        <w:t xml:space="preserve">В.М.ЗНАТКОВ</w:t>
      </w:r>
      <w:r/>
    </w:p>
    <w:p>
      <w:pPr>
        <w:pStyle w:val="1025"/>
        <w:ind w:firstLine="540"/>
        <w:jc w:val="both"/>
      </w:pPr>
      <w:r>
        <w:rPr>
          <w:sz w:val="24"/>
        </w:rPr>
      </w:r>
      <w:r/>
    </w:p>
    <w:p>
      <w:pPr>
        <w:pStyle w:val="1025"/>
        <w:ind w:firstLine="540"/>
        <w:jc w:val="both"/>
      </w:pPr>
      <w:r>
        <w:rPr>
          <w:sz w:val="24"/>
        </w:rPr>
      </w:r>
      <w:r/>
    </w:p>
    <w:p>
      <w:pPr>
        <w:pStyle w:val="1025"/>
        <w:ind w:firstLine="540"/>
        <w:jc w:val="both"/>
      </w:pPr>
      <w:r>
        <w:rPr>
          <w:sz w:val="24"/>
        </w:rPr>
      </w:r>
      <w:r/>
    </w:p>
    <w:p>
      <w:pPr>
        <w:pStyle w:val="1025"/>
        <w:ind w:firstLine="540"/>
        <w:jc w:val="both"/>
      </w:pPr>
      <w:r>
        <w:rPr>
          <w:sz w:val="24"/>
        </w:rPr>
      </w:r>
      <w:r/>
    </w:p>
    <w:p>
      <w:pPr>
        <w:pStyle w:val="1025"/>
        <w:ind w:firstLine="540"/>
        <w:jc w:val="both"/>
      </w:pPr>
      <w:r>
        <w:rPr>
          <w:sz w:val="24"/>
        </w:rPr>
      </w:r>
      <w:r/>
    </w:p>
    <w:p>
      <w:pPr>
        <w:pStyle w:val="1025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1025"/>
        <w:jc w:val="right"/>
      </w:pPr>
      <w:r>
        <w:rPr>
          <w:sz w:val="24"/>
        </w:rPr>
        <w:t xml:space="preserve">к постановлению</w:t>
      </w:r>
      <w:r/>
    </w:p>
    <w:p>
      <w:pPr>
        <w:pStyle w:val="1025"/>
        <w:jc w:val="right"/>
      </w:pPr>
      <w:r>
        <w:rPr>
          <w:sz w:val="24"/>
        </w:rPr>
        <w:t xml:space="preserve">Правительства Новосибирской области</w:t>
      </w:r>
      <w:r/>
    </w:p>
    <w:p>
      <w:pPr>
        <w:pStyle w:val="1025"/>
        <w:jc w:val="right"/>
      </w:pPr>
      <w:r>
        <w:rPr>
          <w:sz w:val="24"/>
        </w:rPr>
        <w:t xml:space="preserve">от 05.08.2025 N 367-п</w:t>
      </w:r>
      <w:r/>
    </w:p>
    <w:p>
      <w:pPr>
        <w:pStyle w:val="1025"/>
        <w:ind w:firstLine="540"/>
        <w:jc w:val="both"/>
      </w:pPr>
      <w:r>
        <w:rPr>
          <w:sz w:val="24"/>
        </w:rPr>
      </w:r>
      <w:r/>
    </w:p>
    <w:p>
      <w:pPr>
        <w:pStyle w:val="1025"/>
        <w:jc w:val="right"/>
      </w:pPr>
      <w:r>
        <w:rPr>
          <w:sz w:val="24"/>
        </w:rPr>
        <w:t xml:space="preserve">Утвержден</w:t>
      </w:r>
      <w:r/>
    </w:p>
    <w:p>
      <w:pPr>
        <w:pStyle w:val="1025"/>
        <w:jc w:val="right"/>
      </w:pPr>
      <w:r>
        <w:rPr>
          <w:sz w:val="24"/>
        </w:rPr>
        <w:t xml:space="preserve">постановлением</w:t>
      </w:r>
      <w:r/>
    </w:p>
    <w:p>
      <w:pPr>
        <w:pStyle w:val="1025"/>
        <w:jc w:val="right"/>
      </w:pPr>
      <w:r>
        <w:rPr>
          <w:sz w:val="24"/>
        </w:rPr>
        <w:t xml:space="preserve">Правительства Новосибирской области</w:t>
      </w:r>
      <w:r/>
    </w:p>
    <w:p>
      <w:pPr>
        <w:pStyle w:val="1025"/>
        <w:jc w:val="right"/>
      </w:pPr>
      <w:r>
        <w:rPr>
          <w:sz w:val="24"/>
        </w:rPr>
        <w:t xml:space="preserve">от 30.12.2021 N 574-п</w:t>
      </w:r>
      <w:r/>
    </w:p>
    <w:p>
      <w:pPr>
        <w:pStyle w:val="1025"/>
        <w:ind w:firstLine="540"/>
        <w:jc w:val="both"/>
      </w:pPr>
      <w:r>
        <w:rPr>
          <w:sz w:val="24"/>
        </w:rPr>
      </w:r>
      <w:r/>
    </w:p>
    <w:p>
      <w:pPr>
        <w:pStyle w:val="1027"/>
        <w:jc w:val="center"/>
      </w:pPr>
      <w:r/>
      <w:bookmarkStart w:id="31" w:name="P31"/>
      <w:r/>
      <w:bookmarkEnd w:id="31"/>
      <w:r>
        <w:rPr>
          <w:sz w:val="24"/>
        </w:rPr>
        <w:t xml:space="preserve">ПЕРЕЧЕНЬ</w:t>
      </w:r>
      <w:r/>
    </w:p>
    <w:p>
      <w:pPr>
        <w:pStyle w:val="1027"/>
        <w:jc w:val="center"/>
      </w:pPr>
      <w:r>
        <w:rPr>
          <w:sz w:val="24"/>
        </w:rPr>
        <w:t xml:space="preserve">ИНДИКАТОРОВ РИСКА НАРУШЕНИЯ ОБЯЗАТЕЛЬНЫХ ТРЕБОВАНИЙ</w:t>
      </w:r>
      <w:r/>
    </w:p>
    <w:p>
      <w:pPr>
        <w:pStyle w:val="1027"/>
        <w:jc w:val="center"/>
      </w:pPr>
      <w:r>
        <w:rPr>
          <w:sz w:val="24"/>
        </w:rPr>
        <w:t xml:space="preserve">ПРИ ОСУЩЕСТВЛЕНИИ РЕГИОНАЛЬНОГО ГОСУДАРСТВЕННОГО</w:t>
      </w:r>
      <w:r/>
    </w:p>
    <w:p>
      <w:pPr>
        <w:pStyle w:val="1027"/>
        <w:jc w:val="center"/>
      </w:pPr>
      <w:r>
        <w:rPr>
          <w:sz w:val="24"/>
        </w:rPr>
        <w:t xml:space="preserve">СТРОИТЕЛЬНОГО НАДЗОРА НА ТЕРРИТОРИИ НОВОСИБИРСКОЙ ОБЛАСТИ</w:t>
      </w:r>
      <w:r/>
    </w:p>
    <w:p>
      <w:pPr>
        <w:pStyle w:val="1025"/>
        <w:ind w:firstLine="540"/>
        <w:jc w:val="both"/>
      </w:pPr>
      <w:r>
        <w:rPr>
          <w:sz w:val="24"/>
        </w:rPr>
      </w:r>
      <w:r/>
    </w:p>
    <w:p>
      <w:pPr>
        <w:pStyle w:val="1025"/>
        <w:ind w:firstLine="540"/>
        <w:jc w:val="both"/>
      </w:pPr>
      <w:r>
        <w:rPr>
          <w:sz w:val="24"/>
        </w:rPr>
        <w:t xml:space="preserve">1. Непоступление в инспекцию государственного строительного надзора Новосибирской области в течение шести месяцев после завершения с</w:t>
      </w:r>
      <w:r>
        <w:rPr>
          <w:sz w:val="24"/>
        </w:rPr>
        <w:t xml:space="preserve">рока действия разрешения на строительство объекта капитального строительства, в отношении которого осуществлялся региональный государственный строительный надзор, уведомления о консервации объекта капитального строительства, направляемого в соответствии с </w:t>
      </w:r>
      <w:r>
        <w:rPr>
          <w:sz w:val="24"/>
        </w:rPr>
        <w:t xml:space="preserve">пунктом 9</w:t>
      </w:r>
      <w:r>
        <w:rPr>
          <w:sz w:val="24"/>
        </w:rPr>
        <w:t xml:space="preserve"> Правил проведения консервации объекта капитального строительства, утвержденных постановлением Правительства Российской Федерации от 30.05.2025 N 802 "Об утверждении Правил проведения консервации объекта капитального строительства".</w:t>
      </w:r>
      <w:r/>
    </w:p>
    <w:p>
      <w:pPr>
        <w:pStyle w:val="1025"/>
        <w:ind w:firstLine="540"/>
        <w:jc w:val="both"/>
        <w:spacing w:before="240"/>
      </w:pPr>
      <w:r>
        <w:rPr>
          <w:sz w:val="24"/>
        </w:rPr>
        <w:t xml:space="preserve">2. Получение информации (направление застройщиком или техническим заказчиком изменений в проектную документацию в соответствии с </w:t>
      </w:r>
      <w:r>
        <w:rPr>
          <w:sz w:val="24"/>
        </w:rPr>
        <w:t xml:space="preserve">частью 5.2 статьи 52</w:t>
      </w:r>
      <w:r>
        <w:rPr>
          <w:sz w:val="24"/>
        </w:rPr>
        <w:t xml:space="preserve"> Градостроительного кодекса Российской Федерации или информация о внесении изменений в проектную документацию из копии разрешения на строительство, поступившего в соответствии с </w:t>
      </w:r>
      <w:r>
        <w:rPr>
          <w:sz w:val="24"/>
        </w:rPr>
        <w:t xml:space="preserve">частью 15 статьи 51</w:t>
      </w:r>
      <w:r>
        <w:rPr>
          <w:sz w:val="24"/>
        </w:rPr>
        <w:t xml:space="preserve"> Градостроительного кодекса Российской Федерации) о пяти или более случаях изменений, внесенных в соответствии с </w:t>
      </w:r>
      <w:r>
        <w:rPr>
          <w:sz w:val="24"/>
        </w:rPr>
        <w:t xml:space="preserve">частью 3.8 статьи 49</w:t>
      </w:r>
      <w:r>
        <w:rPr>
          <w:sz w:val="24"/>
        </w:rPr>
        <w:t xml:space="preserve"> Градостроительного кодекса Российской Федерации в проектную документацию строящегося, реконструируемого объекта капитального строительства, получившую положительное заключение экспертизы проектной документации, в течение календарного года.</w:t>
      </w:r>
      <w:r/>
    </w:p>
    <w:p>
      <w:pPr>
        <w:pStyle w:val="1025"/>
        <w:ind w:firstLine="540"/>
        <w:jc w:val="both"/>
        <w:spacing w:before="240"/>
      </w:pPr>
      <w:r>
        <w:rPr>
          <w:sz w:val="24"/>
        </w:rPr>
        <w:t xml:space="preserve">3. Поступление от контролируемого лица в течение календарного года пяти или более документов, являющихся основанием для внесения изменений в программу проверок в соответствии с </w:t>
      </w:r>
      <w:r>
        <w:rPr>
          <w:sz w:val="24"/>
        </w:rPr>
        <w:t xml:space="preserve">пунктом 41</w:t>
      </w:r>
      <w:r>
        <w:rPr>
          <w:sz w:val="24"/>
        </w:rPr>
        <w:t xml:space="preserve"> Положения о регионал</w:t>
      </w:r>
      <w:r>
        <w:rPr>
          <w:sz w:val="24"/>
        </w:rPr>
        <w:t xml:space="preserve">ьном государственном строительном надзоре на территории Новосибирской области, утвержденного постановлением Правительства Новосибирской области от 26.10.2021 N 435-п "О региональном государственном строительном надзоре на территории Новосибирской области".</w:t>
      </w:r>
      <w:r/>
    </w:p>
    <w:p>
      <w:pPr>
        <w:pStyle w:val="1025"/>
        <w:ind w:firstLine="540"/>
        <w:jc w:val="both"/>
        <w:spacing w:before="240"/>
      </w:pPr>
      <w:r>
        <w:rPr>
          <w:sz w:val="24"/>
        </w:rPr>
        <w:t xml:space="preserve">4. Непоступление от контролируемого лица документов, являющихся основанием для внесения изменений в программу проверок в соответствии с </w:t>
      </w:r>
      <w:r>
        <w:rPr>
          <w:sz w:val="24"/>
        </w:rPr>
        <w:t xml:space="preserve">пунктом 41</w:t>
      </w:r>
      <w:r>
        <w:rPr>
          <w:sz w:val="24"/>
        </w:rPr>
        <w:t xml:space="preserve"> Положения о региональном государственном строительном надзоре на территории Новосибирской области, утвержденного постан</w:t>
      </w:r>
      <w:r>
        <w:rPr>
          <w:sz w:val="24"/>
        </w:rPr>
        <w:t xml:space="preserve">овлением Правительства Новосибирской области от 26.10.2021 N 435-п "О региональном государственном строительном надзоре на территории Новосибирской области", либо уведомления о консервации объекта капитального строительства, направляемого в соответствии с </w:t>
      </w:r>
      <w:r>
        <w:rPr>
          <w:sz w:val="24"/>
        </w:rPr>
        <w:t xml:space="preserve">пунктом 9</w:t>
      </w:r>
      <w:r>
        <w:rPr>
          <w:sz w:val="24"/>
        </w:rPr>
        <w:t xml:space="preserve"> Правил проведения консервации объекта капитального строительства, утвержденных постановлением Правительства Российской Федерации от 30.05.2025 N 802 "Об утверждении Правил прове</w:t>
      </w:r>
      <w:r>
        <w:rPr>
          <w:sz w:val="24"/>
        </w:rPr>
        <w:t xml:space="preserve">дения консервации объекта капитального строительства", по истечении семи месяцев после наступления срока последнего события, наступление которого является основанием для проведения контрольного (надзорного) мероприятия в соответствии с программой проверок.</w:t>
      </w:r>
      <w:r/>
    </w:p>
    <w:p>
      <w:pPr>
        <w:pStyle w:val="1025"/>
        <w:ind w:firstLine="540"/>
        <w:jc w:val="both"/>
      </w:pPr>
      <w:r>
        <w:rPr>
          <w:sz w:val="24"/>
        </w:rPr>
      </w:r>
      <w:r/>
    </w:p>
    <w:p>
      <w:pPr>
        <w:pStyle w:val="1025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49" w:type="pct"/>
      <w:tblInd w:w="-101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96"/>
      <w:gridCol w:w="3498"/>
      <w:gridCol w:w="3395"/>
    </w:tblGrid>
    <w:tr>
      <w:tblPrEx/>
      <w:trPr>
        <w:trHeight w:val="1663" w:hRule="exact"/>
      </w:trPr>
      <w:tc>
        <w:tcPr>
          <w:tcW w:w="3496" w:type="dxa"/>
          <w:vAlign w:val="center"/>
          <w:textDirection w:val="lrTb"/>
          <w:noWrap w:val="false"/>
        </w:tcPr>
        <w:p>
          <w:r/>
          <w:r/>
        </w:p>
      </w:tc>
      <w:tc>
        <w:tcPr>
          <w:tcW w:w="3498" w:type="dxa"/>
          <w:vAlign w:val="center"/>
          <w:textDirection w:val="lrTb"/>
          <w:noWrap w:val="false"/>
        </w:tcPr>
        <w:p>
          <w:r/>
          <w:r/>
        </w:p>
      </w:tc>
      <w:tc>
        <w:tcPr>
          <w:tcW w:w="3395" w:type="dxa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05.08.2025 N 367-п "О внесении изменения в постановление Правительс...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05.08.2025 N 367-п "О внесении изменения в постановление Правительс...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6">
    <w:name w:val="Normal"/>
    <w:qFormat/>
  </w:style>
  <w:style w:type="paragraph" w:styleId="847">
    <w:name w:val="Heading 1"/>
    <w:basedOn w:val="846"/>
    <w:next w:val="846"/>
    <w:link w:val="8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8">
    <w:name w:val="Heading 1 Char"/>
    <w:link w:val="847"/>
    <w:uiPriority w:val="9"/>
    <w:rPr>
      <w:rFonts w:ascii="Arial" w:hAnsi="Arial" w:eastAsia="Arial" w:cs="Arial"/>
      <w:sz w:val="40"/>
      <w:szCs w:val="40"/>
    </w:rPr>
  </w:style>
  <w:style w:type="paragraph" w:styleId="849">
    <w:name w:val="Heading 2"/>
    <w:basedOn w:val="846"/>
    <w:next w:val="846"/>
    <w:link w:val="8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0">
    <w:name w:val="Heading 2 Char"/>
    <w:link w:val="849"/>
    <w:uiPriority w:val="9"/>
    <w:rPr>
      <w:rFonts w:ascii="Arial" w:hAnsi="Arial" w:eastAsia="Arial" w:cs="Arial"/>
      <w:sz w:val="34"/>
    </w:rPr>
  </w:style>
  <w:style w:type="paragraph" w:styleId="851">
    <w:name w:val="Heading 3"/>
    <w:basedOn w:val="846"/>
    <w:next w:val="846"/>
    <w:link w:val="8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52">
    <w:name w:val="Heading 3 Char"/>
    <w:link w:val="851"/>
    <w:uiPriority w:val="9"/>
    <w:rPr>
      <w:rFonts w:ascii="Arial" w:hAnsi="Arial" w:eastAsia="Arial" w:cs="Arial"/>
      <w:sz w:val="30"/>
      <w:szCs w:val="30"/>
    </w:rPr>
  </w:style>
  <w:style w:type="paragraph" w:styleId="853">
    <w:name w:val="Heading 4"/>
    <w:basedOn w:val="846"/>
    <w:next w:val="846"/>
    <w:link w:val="8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4">
    <w:name w:val="Heading 4 Char"/>
    <w:link w:val="853"/>
    <w:uiPriority w:val="9"/>
    <w:rPr>
      <w:rFonts w:ascii="Arial" w:hAnsi="Arial" w:eastAsia="Arial" w:cs="Arial"/>
      <w:b/>
      <w:bCs/>
      <w:sz w:val="26"/>
      <w:szCs w:val="26"/>
    </w:rPr>
  </w:style>
  <w:style w:type="paragraph" w:styleId="855">
    <w:name w:val="Heading 5"/>
    <w:basedOn w:val="846"/>
    <w:next w:val="846"/>
    <w:link w:val="8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6">
    <w:name w:val="Heading 5 Char"/>
    <w:link w:val="855"/>
    <w:uiPriority w:val="9"/>
    <w:rPr>
      <w:rFonts w:ascii="Arial" w:hAnsi="Arial" w:eastAsia="Arial" w:cs="Arial"/>
      <w:b/>
      <w:bCs/>
      <w:sz w:val="24"/>
      <w:szCs w:val="24"/>
    </w:rPr>
  </w:style>
  <w:style w:type="paragraph" w:styleId="857">
    <w:name w:val="Heading 6"/>
    <w:basedOn w:val="846"/>
    <w:next w:val="846"/>
    <w:link w:val="8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8">
    <w:name w:val="Heading 6 Char"/>
    <w:link w:val="857"/>
    <w:uiPriority w:val="9"/>
    <w:rPr>
      <w:rFonts w:ascii="Arial" w:hAnsi="Arial" w:eastAsia="Arial" w:cs="Arial"/>
      <w:b/>
      <w:bCs/>
      <w:sz w:val="22"/>
      <w:szCs w:val="22"/>
    </w:rPr>
  </w:style>
  <w:style w:type="paragraph" w:styleId="859">
    <w:name w:val="Heading 7"/>
    <w:basedOn w:val="846"/>
    <w:next w:val="846"/>
    <w:link w:val="8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0">
    <w:name w:val="Heading 7 Char"/>
    <w:link w:val="8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1">
    <w:name w:val="Heading 8"/>
    <w:basedOn w:val="846"/>
    <w:next w:val="846"/>
    <w:link w:val="8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2">
    <w:name w:val="Heading 8 Char"/>
    <w:link w:val="861"/>
    <w:uiPriority w:val="9"/>
    <w:rPr>
      <w:rFonts w:ascii="Arial" w:hAnsi="Arial" w:eastAsia="Arial" w:cs="Arial"/>
      <w:i/>
      <w:iCs/>
      <w:sz w:val="22"/>
      <w:szCs w:val="22"/>
    </w:rPr>
  </w:style>
  <w:style w:type="paragraph" w:styleId="863">
    <w:name w:val="Heading 9"/>
    <w:basedOn w:val="846"/>
    <w:next w:val="846"/>
    <w:link w:val="8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4">
    <w:name w:val="Heading 9 Char"/>
    <w:link w:val="863"/>
    <w:uiPriority w:val="9"/>
    <w:rPr>
      <w:rFonts w:ascii="Arial" w:hAnsi="Arial" w:eastAsia="Arial" w:cs="Arial"/>
      <w:i/>
      <w:iCs/>
      <w:sz w:val="21"/>
      <w:szCs w:val="21"/>
    </w:rPr>
  </w:style>
  <w:style w:type="paragraph" w:styleId="865">
    <w:name w:val="List Paragraph"/>
    <w:basedOn w:val="846"/>
    <w:uiPriority w:val="34"/>
    <w:qFormat/>
    <w:pPr>
      <w:contextualSpacing/>
      <w:ind w:left="720"/>
    </w:pPr>
  </w:style>
  <w:style w:type="paragraph" w:styleId="866">
    <w:name w:val="No Spacing"/>
    <w:uiPriority w:val="1"/>
    <w:qFormat/>
    <w:pPr>
      <w:spacing w:before="0" w:after="0" w:line="240" w:lineRule="auto"/>
    </w:pPr>
  </w:style>
  <w:style w:type="paragraph" w:styleId="867">
    <w:name w:val="Title"/>
    <w:basedOn w:val="846"/>
    <w:next w:val="846"/>
    <w:link w:val="8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8">
    <w:name w:val="Title Char"/>
    <w:link w:val="867"/>
    <w:uiPriority w:val="10"/>
    <w:rPr>
      <w:sz w:val="48"/>
      <w:szCs w:val="48"/>
    </w:rPr>
  </w:style>
  <w:style w:type="paragraph" w:styleId="869">
    <w:name w:val="Subtitle"/>
    <w:basedOn w:val="846"/>
    <w:next w:val="846"/>
    <w:link w:val="870"/>
    <w:uiPriority w:val="11"/>
    <w:qFormat/>
    <w:pPr>
      <w:spacing w:before="200" w:after="200"/>
    </w:pPr>
    <w:rPr>
      <w:sz w:val="24"/>
      <w:szCs w:val="24"/>
    </w:rPr>
  </w:style>
  <w:style w:type="character" w:styleId="870">
    <w:name w:val="Subtitle Char"/>
    <w:link w:val="869"/>
    <w:uiPriority w:val="11"/>
    <w:rPr>
      <w:sz w:val="24"/>
      <w:szCs w:val="24"/>
    </w:rPr>
  </w:style>
  <w:style w:type="paragraph" w:styleId="871">
    <w:name w:val="Quote"/>
    <w:basedOn w:val="846"/>
    <w:next w:val="846"/>
    <w:link w:val="872"/>
    <w:uiPriority w:val="29"/>
    <w:qFormat/>
    <w:pPr>
      <w:ind w:left="720" w:right="720"/>
    </w:pPr>
    <w:rPr>
      <w:i/>
    </w:rPr>
  </w:style>
  <w:style w:type="character" w:styleId="872">
    <w:name w:val="Quote Char"/>
    <w:link w:val="871"/>
    <w:uiPriority w:val="29"/>
    <w:rPr>
      <w:i/>
    </w:rPr>
  </w:style>
  <w:style w:type="paragraph" w:styleId="873">
    <w:name w:val="Intense Quote"/>
    <w:basedOn w:val="846"/>
    <w:next w:val="846"/>
    <w:link w:val="8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4">
    <w:name w:val="Intense Quote Char"/>
    <w:link w:val="873"/>
    <w:uiPriority w:val="30"/>
    <w:rPr>
      <w:i/>
    </w:rPr>
  </w:style>
  <w:style w:type="paragraph" w:styleId="875">
    <w:name w:val="Header"/>
    <w:basedOn w:val="846"/>
    <w:link w:val="8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6">
    <w:name w:val="Header Char"/>
    <w:link w:val="875"/>
    <w:uiPriority w:val="99"/>
  </w:style>
  <w:style w:type="paragraph" w:styleId="877">
    <w:name w:val="Footer"/>
    <w:basedOn w:val="846"/>
    <w:link w:val="8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8">
    <w:name w:val="Footer Char"/>
    <w:link w:val="877"/>
    <w:uiPriority w:val="99"/>
  </w:style>
  <w:style w:type="paragraph" w:styleId="879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0">
    <w:name w:val="Caption Char"/>
    <w:basedOn w:val="879"/>
    <w:link w:val="877"/>
    <w:uiPriority w:val="99"/>
  </w:style>
  <w:style w:type="table" w:styleId="88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7">
    <w:name w:val="Hyperlink"/>
    <w:uiPriority w:val="99"/>
    <w:unhideWhenUsed/>
    <w:rPr>
      <w:color w:val="0000ff" w:themeColor="hyperlink"/>
      <w:u w:val="single"/>
    </w:rPr>
  </w:style>
  <w:style w:type="paragraph" w:styleId="1008">
    <w:name w:val="footnote text"/>
    <w:basedOn w:val="846"/>
    <w:link w:val="1009"/>
    <w:uiPriority w:val="99"/>
    <w:semiHidden/>
    <w:unhideWhenUsed/>
    <w:pPr>
      <w:spacing w:after="40" w:line="240" w:lineRule="auto"/>
    </w:pPr>
    <w:rPr>
      <w:sz w:val="18"/>
    </w:rPr>
  </w:style>
  <w:style w:type="character" w:styleId="1009">
    <w:name w:val="Footnote Text Char"/>
    <w:link w:val="1008"/>
    <w:uiPriority w:val="99"/>
    <w:rPr>
      <w:sz w:val="18"/>
    </w:rPr>
  </w:style>
  <w:style w:type="character" w:styleId="1010">
    <w:name w:val="footnote reference"/>
    <w:uiPriority w:val="99"/>
    <w:unhideWhenUsed/>
    <w:rPr>
      <w:vertAlign w:val="superscript"/>
    </w:rPr>
  </w:style>
  <w:style w:type="paragraph" w:styleId="1011">
    <w:name w:val="endnote text"/>
    <w:basedOn w:val="846"/>
    <w:link w:val="1012"/>
    <w:uiPriority w:val="99"/>
    <w:semiHidden/>
    <w:unhideWhenUsed/>
    <w:pPr>
      <w:spacing w:after="0" w:line="240" w:lineRule="auto"/>
    </w:pPr>
    <w:rPr>
      <w:sz w:val="20"/>
    </w:rPr>
  </w:style>
  <w:style w:type="character" w:styleId="1012">
    <w:name w:val="Endnote Text Char"/>
    <w:link w:val="1011"/>
    <w:uiPriority w:val="99"/>
    <w:rPr>
      <w:sz w:val="20"/>
    </w:rPr>
  </w:style>
  <w:style w:type="character" w:styleId="1013">
    <w:name w:val="endnote reference"/>
    <w:uiPriority w:val="99"/>
    <w:semiHidden/>
    <w:unhideWhenUsed/>
    <w:rPr>
      <w:vertAlign w:val="superscript"/>
    </w:rPr>
  </w:style>
  <w:style w:type="paragraph" w:styleId="1014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1015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1016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1017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1018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1019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1020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1021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1022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1023">
    <w:name w:val="TOC Heading"/>
    <w:uiPriority w:val="39"/>
    <w:unhideWhenUsed/>
  </w:style>
  <w:style w:type="paragraph" w:styleId="1024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1025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026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027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028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029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030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031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032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03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034" w:default="1">
    <w:name w:val="Default Paragraph Font"/>
    <w:uiPriority w:val="1"/>
    <w:semiHidden/>
    <w:unhideWhenUsed/>
  </w:style>
  <w:style w:type="numbering" w:styleId="1035" w:default="1">
    <w:name w:val="No List"/>
    <w:uiPriority w:val="99"/>
    <w:semiHidden/>
    <w:unhideWhenUsed/>
  </w:style>
  <w:style w:type="table" w:styleId="10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05.08.2025 N 367-п
"О внесении изменения в постановление Правительства Новосибирской области от 30.12.2021 N 574-п"</dc:title>
  <cp:revision>2</cp:revision>
  <dcterms:created xsi:type="dcterms:W3CDTF">2025-08-14T02:21:55Z</dcterms:created>
  <dcterms:modified xsi:type="dcterms:W3CDTF">2025-08-14T03:29:25Z</dcterms:modified>
</cp:coreProperties>
</file>