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540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29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14 ноября 2022 г. N 539-п</w:t>
      </w:r>
      <w:r/>
    </w:p>
    <w:p>
      <w:pPr>
        <w:pStyle w:val="829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ВНЕСЕНИИ ИЗМЕНЕНИЙ В ПОСТАНОВЛЕНИЕ ПРАВИТЕЛЬСТВА</w:t>
      </w:r>
      <w:r/>
    </w:p>
    <w:p>
      <w:pPr>
        <w:pStyle w:val="829"/>
        <w:jc w:val="center"/>
      </w:pPr>
      <w:r>
        <w:rPr>
          <w:sz w:val="24"/>
        </w:rPr>
        <w:t xml:space="preserve">НОВОСИБИРСКОЙ ОБЛАСТИ ОТ 26.10.2021 N 435-П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Правительство Новосибирской области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26.10.2021 N 435-п "О региональном государственном строительном надзоре на территории Новосибирской области" следующие изменения: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В </w:t>
      </w:r>
      <w:r>
        <w:rPr>
          <w:sz w:val="24"/>
        </w:rPr>
        <w:t xml:space="preserve">пункте 2</w:t>
      </w:r>
      <w:r>
        <w:rPr>
          <w:sz w:val="24"/>
        </w:rPr>
        <w:t xml:space="preserve"> после слова "показатели" дополнить словами "и их целевые значения".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В </w:t>
      </w:r>
      <w:r>
        <w:rPr>
          <w:sz w:val="24"/>
        </w:rPr>
        <w:t xml:space="preserve">Положении</w:t>
      </w:r>
      <w:r>
        <w:rPr>
          <w:sz w:val="24"/>
        </w:rPr>
        <w:t xml:space="preserve"> о региональном государственном строительном надзоре на территории Новосибирской области: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в </w:t>
      </w:r>
      <w:r>
        <w:rPr>
          <w:sz w:val="24"/>
        </w:rPr>
        <w:t xml:space="preserve">пункте 10</w:t>
      </w:r>
      <w:r>
        <w:rPr>
          <w:sz w:val="24"/>
        </w:rPr>
        <w:t xml:space="preserve"> после слова "ежегодно" дополнить словами "в срок до 15 марта года, следующего за отчетным годом,";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в </w:t>
      </w:r>
      <w:r>
        <w:rPr>
          <w:sz w:val="24"/>
        </w:rPr>
        <w:t xml:space="preserve">пункте 19</w:t>
      </w:r>
      <w:r>
        <w:rPr>
          <w:sz w:val="24"/>
        </w:rPr>
        <w:t xml:space="preserve"> второе предложение исключить;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</w:t>
      </w:r>
      <w:r>
        <w:rPr>
          <w:sz w:val="24"/>
        </w:rPr>
        <w:t xml:space="preserve">пункт 84</w:t>
      </w:r>
      <w:r>
        <w:rPr>
          <w:sz w:val="24"/>
        </w:rPr>
        <w:t xml:space="preserve"> изложить в следующей редакции: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"84. В целях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- категории риска):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высокий риск;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значительный риск;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низкий риск.";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</w:t>
      </w:r>
      <w:r>
        <w:rPr>
          <w:sz w:val="24"/>
        </w:rPr>
        <w:t xml:space="preserve">пункт 85</w:t>
      </w:r>
      <w:r>
        <w:rPr>
          <w:sz w:val="24"/>
        </w:rPr>
        <w:t xml:space="preserve"> изложить в следующей редакции: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"85. Отнесение объектов регионального государственного строительного надзора к определенной категории риска осуществляется в соответствии с критериями отнесения объектов регионального государственного строительного надзора к кат</w:t>
      </w:r>
      <w:r>
        <w:rPr>
          <w:sz w:val="24"/>
        </w:rPr>
        <w:t xml:space="preserve">егориям риска причинения вреда (ущерба) охраняемым законом ценностям (далее - критерии риска) согласно приложению к настоящему Положению приказом Инспекции после получения извещения о начале строительства (реконструкции) объекта капитального строительства.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Если контролируемое лицо в период осуществления деятельности в отно</w:t>
      </w:r>
      <w:r>
        <w:rPr>
          <w:sz w:val="24"/>
        </w:rPr>
        <w:t xml:space="preserve">шении объектов контроля подвергнуто административному наказанию за нарушение градостроительного законодательства, объекты контроля, отнесенные к значительному и низкому риску, подлежат отнесению Инспекцией соответственно к высокому и значительному риску.";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</w:t>
      </w:r>
      <w:r>
        <w:rPr>
          <w:sz w:val="24"/>
        </w:rPr>
        <w:t xml:space="preserve">дополнить</w:t>
      </w:r>
      <w:r>
        <w:rPr>
          <w:sz w:val="24"/>
        </w:rPr>
        <w:t xml:space="preserve"> приложением "Критерии отнесения объектов регионального государственного строительного надзора к категориям риска причинения вреда (ущерба) охраняемым законом ценностям" согласно </w:t>
      </w:r>
      <w:r>
        <w:rPr>
          <w:sz w:val="24"/>
        </w:rPr>
        <w:t xml:space="preserve">приложению N 1</w:t>
      </w:r>
      <w:r>
        <w:rPr>
          <w:sz w:val="24"/>
        </w:rPr>
        <w:t xml:space="preserve"> к настоящему постановлению.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Ключевые </w:t>
      </w:r>
      <w:r>
        <w:rPr>
          <w:sz w:val="24"/>
        </w:rPr>
        <w:t xml:space="preserve">показатели</w:t>
      </w:r>
      <w:r>
        <w:rPr>
          <w:sz w:val="24"/>
        </w:rPr>
        <w:t xml:space="preserve">, применяемые при осуществлении регионального государственного строительного надзора на территории Новосибирской области, изложить в редакции согласно </w:t>
      </w:r>
      <w:r>
        <w:rPr>
          <w:sz w:val="24"/>
        </w:rPr>
        <w:t xml:space="preserve">приложению N 2</w:t>
      </w:r>
      <w:r>
        <w:rPr>
          <w:sz w:val="24"/>
        </w:rPr>
        <w:t xml:space="preserve"> к настоящему постановлению.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Индикативные </w:t>
      </w:r>
      <w:r>
        <w:rPr>
          <w:sz w:val="24"/>
        </w:rPr>
        <w:t xml:space="preserve">показатели</w:t>
      </w:r>
      <w:r>
        <w:rPr>
          <w:sz w:val="24"/>
        </w:rPr>
        <w:t xml:space="preserve">, применяемые при осуществлении регионального государственного строительного надзора на территории Новосибирской области, изложить в редакции согласно </w:t>
      </w:r>
      <w:r>
        <w:rPr>
          <w:sz w:val="24"/>
        </w:rPr>
        <w:t xml:space="preserve">приложению N 3</w:t>
      </w:r>
      <w:r>
        <w:rPr>
          <w:sz w:val="24"/>
        </w:rPr>
        <w:t xml:space="preserve"> к настоящему постановлению.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А.А.ТРАВНИКОВ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Приложение N 1</w:t>
      </w:r>
      <w:r/>
    </w:p>
    <w:p>
      <w:pPr>
        <w:pStyle w:val="827"/>
        <w:jc w:val="right"/>
      </w:pPr>
      <w:r>
        <w:rPr>
          <w:sz w:val="24"/>
        </w:rPr>
        <w:t xml:space="preserve">к постановлению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14.11.2022 N 539-п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"Приложение</w:t>
      </w:r>
      <w:r/>
    </w:p>
    <w:p>
      <w:pPr>
        <w:pStyle w:val="827"/>
        <w:jc w:val="right"/>
      </w:pPr>
      <w:r>
        <w:rPr>
          <w:sz w:val="24"/>
        </w:rPr>
        <w:t xml:space="preserve">к Положению</w:t>
      </w:r>
      <w:r/>
    </w:p>
    <w:p>
      <w:pPr>
        <w:pStyle w:val="827"/>
        <w:jc w:val="right"/>
      </w:pPr>
      <w:r>
        <w:rPr>
          <w:sz w:val="24"/>
        </w:rPr>
        <w:t xml:space="preserve">о региональном государственном</w:t>
      </w:r>
      <w:r/>
    </w:p>
    <w:p>
      <w:pPr>
        <w:pStyle w:val="827"/>
        <w:jc w:val="right"/>
      </w:pPr>
      <w:r>
        <w:rPr>
          <w:sz w:val="24"/>
        </w:rPr>
        <w:t xml:space="preserve">строительном надзоре на территории</w:t>
      </w:r>
      <w:r/>
    </w:p>
    <w:p>
      <w:pPr>
        <w:pStyle w:val="827"/>
        <w:jc w:val="right"/>
      </w:pPr>
      <w:r>
        <w:rPr>
          <w:sz w:val="24"/>
        </w:rPr>
        <w:t xml:space="preserve">Новосибирской области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5" w:name="P45"/>
      <w:r/>
      <w:bookmarkEnd w:id="45"/>
      <w:r>
        <w:rPr>
          <w:sz w:val="24"/>
        </w:rPr>
        <w:t xml:space="preserve">КРИТЕРИИ</w:t>
      </w:r>
      <w:r/>
    </w:p>
    <w:p>
      <w:pPr>
        <w:pStyle w:val="829"/>
        <w:jc w:val="center"/>
      </w:pPr>
      <w:r>
        <w:rPr>
          <w:sz w:val="24"/>
        </w:rPr>
        <w:t xml:space="preserve">отнесения объектов регионального государственного</w:t>
      </w:r>
      <w:r/>
    </w:p>
    <w:p>
      <w:pPr>
        <w:pStyle w:val="829"/>
        <w:jc w:val="center"/>
      </w:pPr>
      <w:r>
        <w:rPr>
          <w:sz w:val="24"/>
        </w:rPr>
        <w:t xml:space="preserve">строительного надзора к категориям риска причинения</w:t>
      </w:r>
      <w:r/>
    </w:p>
    <w:p>
      <w:pPr>
        <w:pStyle w:val="829"/>
        <w:jc w:val="center"/>
      </w:pPr>
      <w:r>
        <w:rPr>
          <w:sz w:val="24"/>
        </w:rPr>
        <w:t xml:space="preserve">вреда (ущерба) охраняемым законом ценностям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2437"/>
        <w:gridCol w:w="6066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Категория риска причинения вреда (ущерба) охраняемым законом ценностям</w:t>
            </w:r>
            <w:r/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Критерии отнесения объектов регионального государственного строительного надзора к категориям риска причинения вреда (ущерба) охраняемым законом ценностям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Высокий риск</w:t>
            </w:r>
            <w:r/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Значительный риск</w:t>
            </w:r>
            <w:r/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производственные здания</w:t>
            </w:r>
            <w:r/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Низкий риск</w:t>
            </w:r>
            <w:r/>
          </w:p>
        </w:tc>
        <w:tc>
          <w:tcPr>
            <w:tcW w:w="60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иные объекты капитального строительства, за исключением объектов капитального строительства, отнесенных к категориям высокого и значительного риска</w:t>
            </w:r>
            <w:r/>
          </w:p>
        </w:tc>
      </w:tr>
    </w:tbl>
    <w:p>
      <w:pPr>
        <w:pStyle w:val="827"/>
        <w:jc w:val="right"/>
        <w:spacing w:before="240"/>
      </w:pPr>
      <w:r>
        <w:rPr>
          <w:sz w:val="24"/>
        </w:rPr>
        <w:t xml:space="preserve">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Приложение N 2</w:t>
      </w:r>
      <w:r/>
    </w:p>
    <w:p>
      <w:pPr>
        <w:pStyle w:val="827"/>
        <w:jc w:val="right"/>
      </w:pPr>
      <w:r>
        <w:rPr>
          <w:sz w:val="24"/>
        </w:rPr>
        <w:t xml:space="preserve">к постановлению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14.11.2022 N 539-п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"Утверждены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26.10.2021 N 435-п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78" w:name="P78"/>
      <w:r/>
      <w:bookmarkEnd w:id="78"/>
      <w:r>
        <w:rPr>
          <w:sz w:val="24"/>
        </w:rPr>
        <w:t xml:space="preserve">КЛЮЧЕВЫЕ ПОКАЗАТЕЛИ,</w:t>
      </w:r>
      <w:r/>
    </w:p>
    <w:p>
      <w:pPr>
        <w:pStyle w:val="829"/>
        <w:jc w:val="center"/>
      </w:pPr>
      <w:r>
        <w:rPr>
          <w:sz w:val="24"/>
        </w:rPr>
        <w:t xml:space="preserve">ПРИМЕНЯЕМЫЕ ПРИ ОСУЩЕСТВЛЕНИИ РЕГИОНАЛЬНОГО ГОСУДАРСТВЕННОГО</w:t>
      </w:r>
      <w:r/>
    </w:p>
    <w:p>
      <w:pPr>
        <w:pStyle w:val="829"/>
        <w:jc w:val="center"/>
      </w:pPr>
      <w:r>
        <w:rPr>
          <w:sz w:val="24"/>
        </w:rPr>
        <w:t xml:space="preserve">СТРОИТЕЛЬНОГО НАДЗОРА НА ТЕРРИТОРИИ НОВОСИБИРСКОЙ ОБЛАСТИ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2664"/>
        <w:gridCol w:w="4308"/>
        <w:gridCol w:w="1077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Номер (индекс) показателя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Наименование показателя (группы показателей)</w:t>
            </w:r>
            <w:r/>
          </w:p>
        </w:tc>
        <w:tc>
          <w:tcPr>
            <w:tcW w:w="430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Порядок расчета показателя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Целевое значение показателя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8049" w:type="dxa"/>
            <w:textDirection w:val="lrTb"/>
            <w:noWrap w:val="false"/>
          </w:tcPr>
          <w:p>
            <w:pPr>
              <w:pStyle w:val="827"/>
              <w:jc w:val="center"/>
              <w:outlineLvl w:val="1"/>
            </w:pPr>
            <w:r>
              <w:rPr>
                <w:sz w:val="24"/>
              </w:rPr>
              <w:t xml:space="preserve">Ключевые показатели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  <w:outlineLvl w:val="2"/>
            </w:pPr>
            <w:r>
              <w:rPr>
                <w:sz w:val="24"/>
              </w:rPr>
              <w:t xml:space="preserve">А</w:t>
            </w:r>
            <w:r/>
          </w:p>
        </w:tc>
        <w:tc>
          <w:tcPr>
            <w:gridSpan w:val="3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А.1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граждан, которым при строительстве, реконструкции объектов капитального строительства, на которых осуществлялся государственный строите</w:t>
            </w:r>
            <w:r>
              <w:rPr>
                <w:sz w:val="24"/>
              </w:rPr>
              <w:t xml:space="preserve">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документации, на 100 000 жителей</w:t>
            </w:r>
            <w:r/>
          </w:p>
        </w:tc>
        <w:tc>
          <w:tcPr>
            <w:tcW w:w="430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 = Кв / Кнсо x 100 000 жителей x 100%;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Кв - количество граждан, которым при строительстве, реконструкции объектов капитального строительства, на которых осуществлялся госу</w:t>
            </w:r>
            <w:r>
              <w:rPr>
                <w:sz w:val="24"/>
              </w:rPr>
              <w:t xml:space="preserve">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Кнсо - количество жителей Новосибирской области в отчетном периоде (месяц, квартал, полугодие, год)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0,19%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А.3.1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не исполне</w:t>
            </w:r>
            <w:r>
              <w:rPr>
                <w:sz w:val="24"/>
              </w:rPr>
              <w:t xml:space="preserve">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истек, за отчетный период (месяц, квартал, полугодие, год)</w:t>
            </w:r>
            <w:r/>
          </w:p>
        </w:tc>
        <w:tc>
          <w:tcPr>
            <w:tcW w:w="430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 = Пн / П x 100%;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П - общее количество выданных предписаний, срок исполнения которых истек;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Пн - количество неисполненных предписаний, срок исполнения которых истек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41,0%</w:t>
            </w:r>
            <w:r/>
          </w:p>
        </w:tc>
      </w:tr>
    </w:tbl>
    <w:p>
      <w:pPr>
        <w:pStyle w:val="827"/>
        <w:jc w:val="right"/>
      </w:pPr>
      <w:r>
        <w:rPr>
          <w:sz w:val="24"/>
        </w:rPr>
        <w:t xml:space="preserve">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Приложение N 3</w:t>
      </w:r>
      <w:r/>
    </w:p>
    <w:p>
      <w:pPr>
        <w:pStyle w:val="827"/>
        <w:jc w:val="right"/>
      </w:pPr>
      <w:r>
        <w:rPr>
          <w:sz w:val="24"/>
        </w:rPr>
        <w:t xml:space="preserve">к постановлению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14.11.2022 N 539-п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"Утверждены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26.10.2021 N 435-п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118" w:name="P118"/>
      <w:r/>
      <w:bookmarkEnd w:id="118"/>
      <w:r>
        <w:rPr>
          <w:sz w:val="24"/>
        </w:rPr>
        <w:t xml:space="preserve">ИНДИКАТИВНЫЕ ПОКАЗАТЕЛИ,</w:t>
      </w:r>
      <w:r/>
    </w:p>
    <w:p>
      <w:pPr>
        <w:pStyle w:val="829"/>
        <w:jc w:val="center"/>
      </w:pPr>
      <w:r>
        <w:rPr>
          <w:sz w:val="24"/>
        </w:rPr>
        <w:t xml:space="preserve">ПРИМЕНЯЕМЫЕ ПРИ ОСУЩЕСТВЛЕНИИ РЕГИОНАЛЬНОГО ГОСУДАРСТВЕННОГО</w:t>
      </w:r>
      <w:r/>
    </w:p>
    <w:p>
      <w:pPr>
        <w:pStyle w:val="829"/>
        <w:jc w:val="center"/>
      </w:pPr>
      <w:r>
        <w:rPr>
          <w:sz w:val="24"/>
        </w:rPr>
        <w:t xml:space="preserve">СТРОИТЕЛЬНОГО НАДЗОРА НА ТЕРРИТОРИИ НОВОСИБИРСКОЙ ОБЛАСТИ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2664"/>
        <w:gridCol w:w="5385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Номер (индекс) показателя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Наименование показателя (группы показателей)</w:t>
            </w:r>
            <w:r/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Порядок расчета показателя. Источник показателя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  <w:jc w:val="center"/>
              <w:outlineLvl w:val="1"/>
            </w:pPr>
            <w:r>
              <w:rPr>
                <w:sz w:val="24"/>
              </w:rPr>
              <w:t xml:space="preserve">Индикативные показатели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  <w:outlineLvl w:val="2"/>
            </w:pPr>
            <w:r>
              <w:rPr>
                <w:sz w:val="24"/>
              </w:rPr>
              <w:t xml:space="preserve">Б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Показатели, характеризующие анализ и оценку эффективности регионального государственного строительного контроля (надзора)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Б.1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жалоб на решения инспекции государственного строительного надзора Новосибирской области (далее - инспекция), действия (бездействие) должностных лиц при проведении контрольных (надзорных) мероприятий</w:t>
            </w:r>
            <w:r/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27"/>
            </w:pPr>
            <w:r>
              <w:rPr>
                <w:position w:val="-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1680" cy="56007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168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8.40pt;height:44.1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Б.2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исполненных в установленные сроки предписаний об устранении нарушений обязательных требований</w:t>
            </w:r>
            <w:r/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27"/>
            </w:pPr>
            <w:r>
              <w:rPr>
                <w:position w:val="-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3030" cy="46863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303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8.90pt;height:36.9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Б.3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контрольных (надзорных) мероприятий, проведенных по программам проверок, по результатам которых выявлены нарушения обязательных требований</w:t>
            </w:r>
            <w:r/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27"/>
            </w:pPr>
            <w:r>
              <w:rPr>
                <w:position w:val="-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54480" cy="46863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5448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2.40pt;height:36.9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Б.4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взысканных штрафов</w:t>
            </w:r>
            <w:r/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27"/>
            </w:pPr>
            <w:r>
              <w:rPr>
                <w:position w:val="-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3030" cy="46863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303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8.90pt;height:36.9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  <w:outlineLvl w:val="2"/>
            </w:pPr>
            <w:r>
              <w:rPr>
                <w:sz w:val="24"/>
              </w:rPr>
              <w:t xml:space="preserve">В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Индикативные показатели, характеризующие количественные показатели проведения контрольных (надзорных), профилактических и иных мероприятий в рамках осуществления регионального государственного строительного контроля (надзора):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В.2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индикативные показатели, характеризующие параметры проведенных мероприятий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В.3.1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проведенных контрольных (надзорных) мероприятий с взаимодействием с контролируемыми лицами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В.3.2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контрольных (надзорных) мероприятий, проведенных по программам проверок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В.3.2.1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контрольных (надзорных) мероприятий, проведенных по программам проверок, по результатам которых выявлены нарушения обязательных требований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В.3.3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контрольных (надзорных) мероприятий, проведенных по поручению Президента Российской Федерации, поручению Правительства Российской Федерации о проведении контрольных (надзорных) мероприятий в отношении конкретных контролируемых лиц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В.3.4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контрольных (над</w:t>
            </w:r>
            <w:r>
              <w:rPr>
                <w:sz w:val="24"/>
              </w:rPr>
              <w:t xml:space="preserve">зорных) мероприятий, проведенных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В.3.5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контрольных (надзорных) мероприятий, проведенных в связи с истечением срока исполнения решения контрольного (надзорного) органа об устранении выявленного нарушения обязательных требований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В.4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заявлений (обращений) о причинении вре</w:t>
            </w:r>
            <w:r>
              <w:rPr>
                <w:sz w:val="24"/>
              </w:rPr>
              <w:t xml:space="preserve">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В.5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общее количество объектов капитального строительства, включенных в реестр объектов капитального строительства, указанных в </w:t>
            </w:r>
            <w:r>
              <w:rPr>
                <w:sz w:val="24"/>
              </w:rPr>
              <w:t xml:space="preserve">части 1 статьи 54</w:t>
            </w:r>
            <w:r>
              <w:rPr>
                <w:sz w:val="24"/>
              </w:rPr>
              <w:t xml:space="preserve"> Градостроительного кодекса Российской Федерации, в отношении которых осуществляется региональный государственный строительный надзор, на конец отчетного периода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В.6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выданных заключений о соответствии построенного, реконструированного объекта капитального строительства требованиям, указанным в </w:t>
            </w:r>
            <w:r>
              <w:rPr>
                <w:sz w:val="24"/>
              </w:rPr>
              <w:t xml:space="preserve">части 16 статьи 54</w:t>
            </w:r>
            <w:r>
              <w:rPr>
                <w:sz w:val="24"/>
              </w:rPr>
              <w:t xml:space="preserve"> Градостроительного кодекса Российской Федерации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В.7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выданных решений об отказе в выдаче заключений о соответствии построенного, реконструированного объекта капитального строительства требованиям, указанным в </w:t>
            </w:r>
            <w:r>
              <w:rPr>
                <w:sz w:val="24"/>
              </w:rPr>
              <w:t xml:space="preserve">части 16 статьи 54</w:t>
            </w:r>
            <w:r>
              <w:rPr>
                <w:sz w:val="24"/>
              </w:rPr>
              <w:t xml:space="preserve"> Градостроительного кодекса Российской Федерации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В.8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лицами, в судебном порядке за отчетный период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В.8.1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исковых заявлений об оспаривании р</w:t>
            </w:r>
            <w:r>
              <w:rPr>
                <w:sz w:val="24"/>
              </w:rPr>
              <w:t xml:space="preserve">ешений, действий (бездействия) должностных лиц контрольных (надзорных) органов, направленных контролируемыми лицами, в судебном порядке, по которым принято решение об удовлетворении заявленных требований, за отчетный период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В.9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штатных единиц инспекции, всего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В.9.1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штатных единиц, в должностные обязанности которых входит выполнение контрольно-надзорных функций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В.10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выявленных нарушений обязательных требований в ходе контрольных (надзорных) мероприятий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выданных предписаний об устранении нарушений обязательных требований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В.12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исполненных предписаний об устранении нарушений обязательных требований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В.13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сумма административных штрафов, наложенных по результатам контрольных (надзорных) мероприятий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В.14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общая сумма уплаченных (взысканных) штрафов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В.15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проведенных обязательных профилактических визитов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В.16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объявленных предостережений о недопустимости нарушения обязательных требований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В.17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общее количество жалоб, поданных контролируемыми лицами в досудебном порядке, за отчетный период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В.18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жалоб, поданных контролируемыми лицами в досудебном порядке, по итогам рассмотрени</w:t>
            </w:r>
            <w:r>
              <w:rPr>
                <w:sz w:val="24"/>
              </w:rPr>
              <w:t xml:space="preserve">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В.19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жалоб, поданных контролируемыми лицами, по итогам рассмотрени</w:t>
            </w:r>
            <w:r>
              <w:rPr>
                <w:sz w:val="24"/>
              </w:rPr>
              <w:t xml:space="preserve">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В.20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общее количество жалоб, поданных контролируемыми лицами по исковым заявлениям, за отчетный период (месяц, квартал, полугодие, год)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В.21</w:t>
            </w:r>
            <w:r/>
          </w:p>
        </w:tc>
        <w:tc>
          <w:tcPr>
            <w:gridSpan w:val="2"/>
            <w:tcW w:w="804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объем финансовых средств, выделяемых в отчетном периоде (месяц, квартал, полугодие, год) из бюджетов всех уровней на выполнение </w:t>
            </w:r>
            <w:r>
              <w:rPr>
                <w:sz w:val="24"/>
              </w:rPr>
              <w:t xml:space="preserve">функции по осуществлению регионального государственного 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  <w:r/>
          </w:p>
        </w:tc>
      </w:tr>
    </w:tbl>
    <w:p>
      <w:pPr>
        <w:pStyle w:val="827"/>
        <w:jc w:val="right"/>
        <w:spacing w:before="240"/>
      </w:pPr>
      <w:r>
        <w:rPr>
          <w:sz w:val="24"/>
        </w:rPr>
        <w:t xml:space="preserve">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508" w:default="1">
    <w:name w:val="Default Paragraph Font"/>
    <w:uiPriority w:val="1"/>
    <w:semiHidden/>
    <w:unhideWhenUsed/>
  </w:style>
  <w:style w:type="numbering" w:styleId="2509" w:default="1">
    <w:name w:val="No List"/>
    <w:uiPriority w:val="99"/>
    <w:semiHidden/>
    <w:unhideWhenUsed/>
  </w:style>
  <w:style w:type="table" w:styleId="25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Relationship Id="rId13" Type="http://schemas.openxmlformats.org/officeDocument/2006/relationships/image" Target="media/image2.wmf"/><Relationship Id="rId14" Type="http://schemas.openxmlformats.org/officeDocument/2006/relationships/image" Target="media/image3.wmf"/><Relationship Id="rId15" Type="http://schemas.openxmlformats.org/officeDocument/2006/relationships/image" Target="media/image4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14.11.2022 N 539-п
"О внесении изменений в постановление Правительства Новосибирской области от 26.10.2021 N 435-п"</dc:title>
  <cp:revision>1</cp:revision>
  <dcterms:created xsi:type="dcterms:W3CDTF">2025-05-23T02:35:31Z</dcterms:created>
  <dcterms:modified xsi:type="dcterms:W3CDTF">2025-05-23T03:24:21Z</dcterms:modified>
</cp:coreProperties>
</file>