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ind w:firstLine="540"/>
        <w:jc w:val="both"/>
        <w:outlineLvl w:val="0"/>
      </w:pPr>
      <w:r>
        <w:rPr>
          <w:sz w:val="24"/>
        </w:rPr>
      </w:r>
      <w:r/>
    </w:p>
    <w:p>
      <w:pPr>
        <w:pStyle w:val="833"/>
        <w:jc w:val="center"/>
      </w:pPr>
      <w:r>
        <w:rPr>
          <w:sz w:val="24"/>
        </w:rPr>
        <w:t xml:space="preserve">ПРАВИТЕЛЬСТВО НОВОСИБИРСКОЙ ОБЛАСТИ</w:t>
      </w:r>
      <w:r/>
    </w:p>
    <w:p>
      <w:pPr>
        <w:pStyle w:val="833"/>
        <w:ind w:firstLine="540"/>
        <w:jc w:val="both"/>
      </w:pPr>
      <w:r>
        <w:rPr>
          <w:sz w:val="24"/>
        </w:rPr>
      </w:r>
      <w:r/>
    </w:p>
    <w:p>
      <w:pPr>
        <w:pStyle w:val="833"/>
        <w:jc w:val="center"/>
      </w:pPr>
      <w:r>
        <w:rPr>
          <w:sz w:val="24"/>
        </w:rPr>
        <w:t xml:space="preserve">ПОСТАНОВЛЕНИЕ</w:t>
      </w:r>
      <w:r/>
    </w:p>
    <w:p>
      <w:pPr>
        <w:pStyle w:val="833"/>
        <w:jc w:val="center"/>
      </w:pPr>
      <w:r>
        <w:rPr>
          <w:sz w:val="24"/>
        </w:rPr>
        <w:t xml:space="preserve">от 8 апреля 2025 г. N 158-п</w:t>
      </w:r>
      <w:r/>
    </w:p>
    <w:p>
      <w:pPr>
        <w:pStyle w:val="833"/>
        <w:ind w:firstLine="540"/>
        <w:jc w:val="both"/>
      </w:pPr>
      <w:r>
        <w:rPr>
          <w:sz w:val="24"/>
        </w:rPr>
      </w:r>
      <w:r/>
    </w:p>
    <w:p>
      <w:pPr>
        <w:pStyle w:val="833"/>
        <w:jc w:val="center"/>
      </w:pPr>
      <w:r>
        <w:rPr>
          <w:sz w:val="24"/>
        </w:rPr>
        <w:t xml:space="preserve">О ВНЕСЕНИИ ИЗМЕНЕНИЙ В ПОСТАНОВЛЕНИЕ ПРАВИТЕЛЬСТВА</w:t>
      </w:r>
      <w:r/>
    </w:p>
    <w:p>
      <w:pPr>
        <w:pStyle w:val="833"/>
        <w:jc w:val="center"/>
      </w:pPr>
      <w:r>
        <w:rPr>
          <w:sz w:val="24"/>
        </w:rPr>
        <w:t xml:space="preserve">НОВОСИБИРСКОЙ ОБЛАСТИ ОТ 26.10.2021 N 435-П</w:t>
      </w:r>
      <w:r/>
    </w:p>
    <w:p>
      <w:pPr>
        <w:pStyle w:val="831"/>
        <w:ind w:firstLine="540"/>
        <w:jc w:val="both"/>
      </w:pPr>
      <w:r>
        <w:rPr>
          <w:sz w:val="24"/>
        </w:rPr>
      </w:r>
      <w:r/>
    </w:p>
    <w:p>
      <w:pPr>
        <w:pStyle w:val="831"/>
        <w:ind w:firstLine="540"/>
        <w:jc w:val="both"/>
      </w:pPr>
      <w:r>
        <w:rPr>
          <w:sz w:val="24"/>
        </w:rPr>
        <w:t xml:space="preserve">Правительство Новосибирской области постановляет: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Внести в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Новосибирской области от 26.10.2021 N 435-п "О региональном государственном строительном надзоре на территории Новосибирской области" следующие изменения: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в </w:t>
      </w:r>
      <w:r>
        <w:rPr>
          <w:sz w:val="24"/>
        </w:rPr>
        <w:t xml:space="preserve">Положении</w:t>
      </w:r>
      <w:r>
        <w:rPr>
          <w:sz w:val="24"/>
        </w:rPr>
        <w:t xml:space="preserve"> о региональном государственном строительном надзоре на территории Новосибирской области: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1. </w:t>
      </w:r>
      <w:r>
        <w:rPr>
          <w:sz w:val="24"/>
        </w:rPr>
        <w:t xml:space="preserve">Пункт 7</w:t>
      </w:r>
      <w:r>
        <w:rPr>
          <w:sz w:val="24"/>
        </w:rPr>
        <w:t xml:space="preserve"> дополнить словами "и обязательных профилактических визитов, проводимых по основаниям, предусмотренным пунктом 1 части 1 статьи 52.1 Федерального закона".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2. В </w:t>
      </w:r>
      <w:r>
        <w:rPr>
          <w:sz w:val="24"/>
        </w:rPr>
        <w:t xml:space="preserve">пункте 10</w:t>
      </w:r>
      <w:r>
        <w:rPr>
          <w:sz w:val="24"/>
        </w:rPr>
        <w:t xml:space="preserve"> слова "государственной автоматизированной информационной системы "Управление" заменить словами "подсистемы сбора отчетности, обеспечивающей монитори</w:t>
      </w:r>
      <w:r>
        <w:rPr>
          <w:sz w:val="24"/>
        </w:rPr>
        <w:t xml:space="preserve">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3. </w:t>
      </w:r>
      <w:r>
        <w:rPr>
          <w:sz w:val="24"/>
        </w:rPr>
        <w:t xml:space="preserve">Пункт 16</w:t>
      </w:r>
      <w:r>
        <w:rPr>
          <w:sz w:val="24"/>
        </w:rPr>
        <w:t xml:space="preserve"> изложить в следующей редакции: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"16. Контролируемое лицо, получившее предостережение о недопуст</w:t>
      </w:r>
      <w:r>
        <w:rPr>
          <w:sz w:val="24"/>
        </w:rPr>
        <w:t xml:space="preserve">имости нарушения обязательных требований, вправе подать в Инспекцию возражения. Возражения подаются в Инспекцию на бумажном носителе, почтовым отправлением, в виде электронного документа на адрес электронной почты, указанный в предостережении о недопустимо</w:t>
      </w:r>
      <w:r>
        <w:rPr>
          <w:sz w:val="24"/>
        </w:rPr>
        <w:t xml:space="preserve">сти нарушения обязательных требований, в том числе через федеральную государственную информационную систему "Единый портал государственных и муниципальных услуг (функций)" (далее - ЕПГУ), в течение 15 рабочих дней со дня получения такого предостережения.".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4. </w:t>
      </w:r>
      <w:r>
        <w:rPr>
          <w:sz w:val="24"/>
        </w:rPr>
        <w:t xml:space="preserve">Пункты 25</w:t>
      </w:r>
      <w:r>
        <w:rPr>
          <w:sz w:val="24"/>
        </w:rPr>
        <w:t xml:space="preserve"> - </w:t>
      </w:r>
      <w:r>
        <w:rPr>
          <w:sz w:val="24"/>
        </w:rPr>
        <w:t xml:space="preserve">25.5</w:t>
      </w:r>
      <w:r>
        <w:rPr>
          <w:sz w:val="24"/>
        </w:rPr>
        <w:t xml:space="preserve"> изложить в следующей редакции: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"25. Профилактический визит проводится в соответствии со статьей 52 Федерального закона.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25.1.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25.2. В ходе профилактического визита контролируемое лицо инф</w:t>
      </w:r>
      <w:r>
        <w:rPr>
          <w:sz w:val="24"/>
        </w:rPr>
        <w:t xml:space="preserve">ормируется об обязательных требованиях, предъявляемых к его деятельности либо к принадлежащим ему объектам контроля, а инспектор осуществляет ознакомление с объектом контроля и проводит оценку уровня соблюдения контролируемым лицом обязательных требований.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25.3. Профилактический визит проводится по инициативе Инспекции (обязательный профилактический визит) или по инициативе контролируемого лица.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25.4. Обязательный профилактический визит проводится в соответствии со статьей 52.1 Федерального закона.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25.4.1. Обязательный профилактический визит не предусматривает отказ контролируемого лица от его проведения.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25.4.2.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25.4.3. Срок проведения обязательного профилактического визита не может превышать десяти рабочих дней и может быть продлен на срок, необходимый для проведения экспертизы, испытаний.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25.4.4. 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для контрольных (надзорных) мероприятий.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25.4.5. Предписание </w:t>
      </w:r>
      <w:r>
        <w:rPr>
          <w:sz w:val="24"/>
        </w:rPr>
        <w:t xml:space="preserve">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25.5. Профилактический визит по инициативе контролируемого лица проводится в соответствии со статьей 52.2 Федерального закона.".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5. </w:t>
      </w:r>
      <w:r>
        <w:rPr>
          <w:sz w:val="24"/>
        </w:rPr>
        <w:t xml:space="preserve">Дополнить</w:t>
      </w:r>
      <w:r>
        <w:rPr>
          <w:sz w:val="24"/>
        </w:rPr>
        <w:t xml:space="preserve"> пунктами 25.5.1 - 25.5.8 следующего содержания: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"25.5.1. Профилактический виз</w:t>
      </w:r>
      <w:r>
        <w:rPr>
          <w:sz w:val="24"/>
        </w:rPr>
        <w:t xml:space="preserve">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25.5.2. Контролируемое лицо подает заявление о проведении профилактического визита (далее - заявление) посредством ЕПГУ или регионального портала государственных и муниципальных услуг. Инсп</w:t>
      </w:r>
      <w:r>
        <w:rPr>
          <w:sz w:val="24"/>
        </w:rPr>
        <w:t xml:space="preserve">екция рассматривает заявление в течение десяти рабочих дней и принимает решение о проведении профилактического визита либо об отказе в его проведении в случаях, предусмотренных частью 4 статьи 52.2 Федерального закона, о чем уведомляет контролируемое лицо.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25.5.3. В случае принятия решения о проведении профилактического визита Инспекция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25.5.4. Контролируемое лицо вправе отозвать заявление либо направить отказ от проведения профилактического визита, уведомив об этом Инспекцию не позднее чем за пять рабочих дней до даты его проведения.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25.5.5. 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25.5.6. Разъяснения и рекомендации, полученные контролируемым лицом в ходе профилактического визита, носят рекомендательный характер.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25.5.7. 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25.5.8. В случае если при проведении профилактического визита установлено, что объекты контроля представляют явную непосредственную угрозу прич</w:t>
      </w:r>
      <w:r>
        <w:rPr>
          <w:sz w:val="24"/>
        </w:rPr>
        <w:t xml:space="preserve">инения вреда (ущерба) охраняемым законом ценностям или такой вред (ущерб) причинен, инспектор незамедлительно направляет информацию об этом уполномоченному должностному лицу Инспекции для принятия решения о проведении контрольных (надзорных) мероприятий.".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6. В </w:t>
      </w:r>
      <w:r>
        <w:rPr>
          <w:sz w:val="24"/>
        </w:rPr>
        <w:t xml:space="preserve">пункте 26</w:t>
      </w:r>
      <w:r>
        <w:rPr>
          <w:sz w:val="24"/>
        </w:rPr>
        <w:t xml:space="preserve"> слова "предусмотренным пунктами 1, 3 - 6 части 1 статьи 57" заменить словами "предусмотренным пунктами 1, 3 - 7, 9 части 1 статьи 57".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7. В </w:t>
      </w:r>
      <w:r>
        <w:rPr>
          <w:sz w:val="24"/>
        </w:rPr>
        <w:t xml:space="preserve">пункте 30</w:t>
      </w:r>
      <w:r>
        <w:rPr>
          <w:sz w:val="24"/>
        </w:rPr>
        <w:t xml:space="preserve"> слова "извещения о начале работ" заменить словами "извещения о начале работ по строительству, реконструкции объекта капитального строительства, направленного в соответствии с </w:t>
      </w:r>
      <w:r>
        <w:rPr>
          <w:sz w:val="24"/>
        </w:rPr>
        <w:t xml:space="preserve">частью 5 статьи 52</w:t>
      </w:r>
      <w:r>
        <w:rPr>
          <w:sz w:val="24"/>
        </w:rPr>
        <w:t xml:space="preserve"> Градостроительного кодекса Российской Федерации (далее - извещение о начале работ)".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8. </w:t>
      </w:r>
      <w:r>
        <w:rPr>
          <w:sz w:val="24"/>
        </w:rPr>
        <w:t xml:space="preserve">Пункт 45</w:t>
      </w:r>
      <w:r>
        <w:rPr>
          <w:sz w:val="24"/>
        </w:rPr>
        <w:t xml:space="preserve"> изложить в следующей редакции: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"45. Решение о проведении контрольного (надзорного) мероприятия по основаниям, предусмотренным пунктами 1, 3 - 7, 9 части 1 статьи 57 Федерального закона, принимается начальником (заместителем начальника) Инспекции.".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9. </w:t>
      </w:r>
      <w:r>
        <w:rPr>
          <w:sz w:val="24"/>
        </w:rPr>
        <w:t xml:space="preserve">Дополнить</w:t>
      </w:r>
      <w:r>
        <w:rPr>
          <w:sz w:val="24"/>
        </w:rPr>
        <w:t xml:space="preserve"> пунктами 55.1, 55.2 следующего содержания: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"55.1.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55.2. Осмотр, опрос, экспертиза могут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"Инспектор".".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10. </w:t>
      </w:r>
      <w:r>
        <w:rPr>
          <w:sz w:val="24"/>
        </w:rPr>
        <w:t xml:space="preserve">Абзац первый пункта 55.6</w:t>
      </w:r>
      <w:r>
        <w:rPr>
          <w:sz w:val="24"/>
        </w:rPr>
        <w:t xml:space="preserve"> изложить в следующей редакции: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"58.6. Отбор проб (образцов) включает в себя последовательность следующих действий:".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11. </w:t>
      </w:r>
      <w:r>
        <w:rPr>
          <w:sz w:val="24"/>
        </w:rPr>
        <w:t xml:space="preserve">Дополнить</w:t>
      </w:r>
      <w:r>
        <w:rPr>
          <w:sz w:val="24"/>
        </w:rPr>
        <w:t xml:space="preserve"> пунктом 61.1 следующего содержания: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"61.1. В с</w:t>
      </w:r>
      <w:r>
        <w:rPr>
          <w:sz w:val="24"/>
        </w:rPr>
        <w:t xml:space="preserve">лучае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</w:t>
      </w:r>
      <w:r>
        <w:rPr>
          <w:sz w:val="24"/>
        </w:rPr>
        <w:t xml:space="preserve">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лица.".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12. </w:t>
      </w:r>
      <w:r>
        <w:rPr>
          <w:sz w:val="24"/>
        </w:rPr>
        <w:t xml:space="preserve">Дополнить</w:t>
      </w:r>
      <w:r>
        <w:rPr>
          <w:sz w:val="24"/>
        </w:rPr>
        <w:t xml:space="preserve"> пунктами 63.1, 63.2 следующего содержания: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"63.1. Контролируемое лицо, в отношении к</w:t>
      </w:r>
      <w:r>
        <w:rPr>
          <w:sz w:val="24"/>
        </w:rPr>
        <w:t xml:space="preserve">оторого выявлены нарушения обязательных требований, вправе подать ходатайство о заключении с Инспекцией соглашения о надлежащем устранении выявленных нарушений обязательных требований (далее - соглашение) в соответствии со статьей 90.2 Федерального закона.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63.2. 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Федерации.".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13. В </w:t>
      </w:r>
      <w:r>
        <w:rPr>
          <w:sz w:val="24"/>
        </w:rPr>
        <w:t xml:space="preserve">пункте 70</w:t>
      </w:r>
      <w:r>
        <w:rPr>
          <w:sz w:val="24"/>
        </w:rPr>
        <w:t xml:space="preserve"> слова "предусмотренных пунктами 1, 3 и 4 части 1 статьи 57" заменить словами "предусмотренных пунктами 1, 3, 4 и 7 части 1 статьи 57".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14. В </w:t>
      </w:r>
      <w:r>
        <w:rPr>
          <w:sz w:val="24"/>
        </w:rPr>
        <w:t xml:space="preserve">пункте 71</w:t>
      </w:r>
      <w:r>
        <w:rPr>
          <w:sz w:val="24"/>
        </w:rPr>
        <w:t xml:space="preserve"> слова "и статьей 60" исключить.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15. </w:t>
      </w:r>
      <w:r>
        <w:rPr>
          <w:sz w:val="24"/>
        </w:rPr>
        <w:t xml:space="preserve">Пункты 83</w:t>
      </w:r>
      <w:r>
        <w:rPr>
          <w:sz w:val="24"/>
        </w:rPr>
        <w:t xml:space="preserve"> - </w:t>
      </w:r>
      <w:r>
        <w:rPr>
          <w:sz w:val="24"/>
        </w:rPr>
        <w:t xml:space="preserve">88</w:t>
      </w:r>
      <w:r>
        <w:rPr>
          <w:sz w:val="24"/>
        </w:rPr>
        <w:t xml:space="preserve"> признать утратившими силу.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16. </w:t>
      </w:r>
      <w:r>
        <w:rPr>
          <w:sz w:val="24"/>
        </w:rPr>
        <w:t xml:space="preserve">Дополнить</w:t>
      </w:r>
      <w:r>
        <w:rPr>
          <w:sz w:val="24"/>
        </w:rPr>
        <w:t xml:space="preserve"> пунктом 92.1 следующего содержания: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"92.1. Жалоба на предписание Инспекции может быть подана в течение десяти рабочих дней с момента получения контролируемым лицом предписания.".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17. </w:t>
      </w:r>
      <w:r>
        <w:rPr>
          <w:sz w:val="24"/>
        </w:rPr>
        <w:t xml:space="preserve">Приложение</w:t>
      </w:r>
      <w:r>
        <w:rPr>
          <w:sz w:val="24"/>
        </w:rPr>
        <w:t xml:space="preserve"> "Критерии отнесения объектов регионального государственного строительного надзора к категориям риска причинения вреда (ущерба) охраняемым законом ценностям" признать утратившим силу.</w:t>
      </w:r>
      <w:r/>
    </w:p>
    <w:p>
      <w:pPr>
        <w:pStyle w:val="831"/>
        <w:ind w:firstLine="540"/>
        <w:jc w:val="both"/>
      </w:pPr>
      <w:r>
        <w:rPr>
          <w:sz w:val="24"/>
        </w:rPr>
      </w:r>
      <w:r/>
    </w:p>
    <w:p>
      <w:pPr>
        <w:pStyle w:val="831"/>
        <w:jc w:val="right"/>
      </w:pPr>
      <w:r>
        <w:rPr>
          <w:sz w:val="24"/>
        </w:rPr>
        <w:t xml:space="preserve">Губернатор Новосибирской области</w:t>
      </w:r>
      <w:r/>
    </w:p>
    <w:p>
      <w:pPr>
        <w:pStyle w:val="831"/>
        <w:jc w:val="right"/>
      </w:pPr>
      <w:r>
        <w:rPr>
          <w:sz w:val="24"/>
        </w:rPr>
        <w:t xml:space="preserve">А.А.ТРАВНИКОВ</w:t>
      </w:r>
      <w:r/>
    </w:p>
    <w:p>
      <w:pPr>
        <w:pStyle w:val="831"/>
        <w:ind w:firstLine="540"/>
        <w:jc w:val="both"/>
      </w:pPr>
      <w:r>
        <w:rPr>
          <w:sz w:val="24"/>
        </w:rPr>
      </w:r>
      <w:r/>
    </w:p>
    <w:p>
      <w:pPr>
        <w:pStyle w:val="831"/>
        <w:ind w:firstLine="540"/>
        <w:jc w:val="both"/>
      </w:pPr>
      <w:r>
        <w:rPr>
          <w:sz w:val="24"/>
        </w:rPr>
      </w:r>
      <w:r/>
    </w:p>
    <w:p>
      <w:pPr>
        <w:pStyle w:val="831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31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32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33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4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5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6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7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9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1158" w:default="1">
    <w:name w:val="Default Paragraph Font"/>
    <w:uiPriority w:val="1"/>
    <w:semiHidden/>
    <w:unhideWhenUsed/>
  </w:style>
  <w:style w:type="numbering" w:styleId="1159" w:default="1">
    <w:name w:val="No List"/>
    <w:uiPriority w:val="99"/>
    <w:semiHidden/>
    <w:unhideWhenUsed/>
  </w:style>
  <w:style w:type="table" w:styleId="11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08.04.2025 N 158-п
"О внесении изменений в постановление Правительства Новосибирской области от 26.10.2021 N 435-п"</dc:title>
  <cp:revision>1</cp:revision>
  <dcterms:created xsi:type="dcterms:W3CDTF">2025-05-23T02:35:01Z</dcterms:created>
  <dcterms:modified xsi:type="dcterms:W3CDTF">2025-05-23T03:01:44Z</dcterms:modified>
</cp:coreProperties>
</file>