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841"/>
      </w:tblGrid>
      <w:tr>
        <w:trPr>
          <w:trHeight w:val="16018"/>
          <w:tblCellSpacing w:w="0" w:type="dxa"/>
        </w:trPr>
        <w:tc>
          <w:tcPr>
            <w:tcW w:w="9780" w:type="dxa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Итоговая информация о выполнении плана мероприятий по совершенствованию работы с обращениями</w:t>
            </w:r>
            <w:r>
              <w:rPr>
                <w:rFonts w:eastAsia="Calibri"/>
                <w:b/>
                <w:i/>
                <w:lang w:eastAsia="en-US"/>
              </w:rPr>
              <w:t xml:space="preserve"> граждан, объединений граждан, в том числе юридических лиц, поступивших в адрес </w:t>
            </w:r>
            <w:r>
              <w:rPr>
                <w:b/>
                <w:i/>
              </w:rPr>
              <w:t>инспекции государственного строительного надзора Новосибирской области в 2024 году</w:t>
            </w:r>
            <w:r>
              <w:rPr>
                <w:b/>
                <w:i/>
                <w:color w:val="000000"/>
                <w:kern w:val="36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5"/>
            </w:tblGrid>
            <w:tr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>
            <w:pPr>
              <w:ind w:firstLine="601"/>
              <w:jc w:val="both"/>
            </w:pPr>
            <w:r>
              <w:rPr>
                <w:rFonts w:eastAsia="Calibri"/>
                <w:lang w:eastAsia="en-US"/>
              </w:rPr>
              <w:t xml:space="preserve">Рассмотрение письменных и устных обращений и запросов граждан, объединений граждан, в том числе юридических лиц, поступивших в адрес </w:t>
            </w:r>
            <w:r>
              <w:t xml:space="preserve"> инспекции государственного строительного надзора  Новосибирской области (далее – Инспекция)</w:t>
            </w:r>
            <w:r>
              <w:rPr>
                <w:rFonts w:eastAsia="Calibri"/>
                <w:lang w:eastAsia="en-US"/>
              </w:rPr>
      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 </w:t>
            </w:r>
            <w:r>
              <w:t>правовыми актами инспекции.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Возможность гражданам, представителям организаций и общественных объединений обратиться в Инспекцию реализована путем направления письменных обращений по почте, в форме электронного документа на официальный сайт Инспекции (https://gsn.nso.ru/), устно по справочному телефону, а также лично на личных приемах.</w:t>
            </w:r>
          </w:p>
          <w:p>
            <w:pPr>
              <w:autoSpaceDE/>
              <w:autoSpaceDN/>
              <w:ind w:firstLine="601"/>
              <w:jc w:val="both"/>
              <w:rPr>
                <w:rFonts w:ascii="Tahoma" w:hAnsi="Tahoma" w:cs="Tahoma"/>
              </w:rPr>
            </w:pPr>
            <w:r>
              <w:rPr>
                <w:rFonts w:eastAsia="Calibri"/>
                <w:lang w:eastAsia="en-US"/>
              </w:rPr>
              <w:t xml:space="preserve">Организацию работы по объективному, всестороннему и своевременному рассмотрению обращений осуществляет </w:t>
            </w:r>
            <w:r>
              <w:t xml:space="preserve">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jc w:val="both"/>
            </w:pPr>
            <w:r>
              <w:rPr>
                <w:rFonts w:ascii="Tahoma" w:hAnsi="Tahoma" w:cs="Tahoma"/>
              </w:rPr>
              <w:t>  </w:t>
            </w:r>
            <w:r>
              <w:t xml:space="preserve"> </w:t>
            </w:r>
          </w:p>
          <w:p>
            <w:pPr>
              <w:autoSpaceDE/>
              <w:autoSpaceDN/>
              <w:ind w:firstLine="601"/>
              <w:jc w:val="both"/>
            </w:pPr>
            <w:r>
              <w:t>В 2024 году в инспекцию поступило 935 (</w:t>
            </w:r>
            <w:r>
              <w:rPr>
                <w:i/>
              </w:rPr>
              <w:t>2023 год – 751, 2022 год – 690</w:t>
            </w:r>
            <w:r>
              <w:t>) обращений граждан, в том числе:</w:t>
            </w:r>
          </w:p>
          <w:p>
            <w:pPr>
              <w:autoSpaceDE/>
              <w:autoSpaceDN/>
              <w:ind w:firstLine="601"/>
              <w:jc w:val="both"/>
            </w:pPr>
            <w:r>
              <w:t>- письменных обращений – 894 (</w:t>
            </w:r>
            <w:r>
              <w:rPr>
                <w:i/>
              </w:rPr>
              <w:t>2023 год – 728, 2022 год – 660</w:t>
            </w:r>
            <w:r>
              <w:t>), из них в форме электронного документа – 337 (</w:t>
            </w:r>
            <w:r>
              <w:rPr>
                <w:i/>
              </w:rPr>
              <w:t>2023 год – 189, 2022 год – 215</w:t>
            </w:r>
            <w:r>
              <w:t>);</w:t>
            </w:r>
          </w:p>
          <w:p>
            <w:pPr>
              <w:autoSpaceDE/>
              <w:autoSpaceDN/>
              <w:ind w:firstLine="601"/>
              <w:jc w:val="both"/>
            </w:pPr>
            <w:r>
              <w:t>- устных обращений по телефону – 3 (</w:t>
            </w:r>
            <w:r>
              <w:rPr>
                <w:i/>
              </w:rPr>
              <w:t>2023 год – 8, 2022 год – 10</w:t>
            </w:r>
            <w:r>
              <w:t>);</w:t>
            </w:r>
          </w:p>
          <w:p>
            <w:pPr>
              <w:autoSpaceDE/>
              <w:autoSpaceDN/>
              <w:ind w:firstLine="601"/>
              <w:jc w:val="both"/>
            </w:pPr>
            <w:r>
              <w:t>- на личных приемах – 38 (</w:t>
            </w:r>
            <w:r>
              <w:rPr>
                <w:i/>
              </w:rPr>
              <w:t>2023 год – 15, 2022 год – 19</w:t>
            </w:r>
            <w:r>
              <w:t>)</w:t>
            </w:r>
          </w:p>
          <w:p>
            <w:pPr>
              <w:autoSpaceDE/>
              <w:autoSpaceDN/>
              <w:ind w:firstLine="601"/>
              <w:jc w:val="both"/>
            </w:pPr>
            <w:r>
              <w:t>- смс-сообщение – 0 (</w:t>
            </w:r>
            <w:r>
              <w:rPr>
                <w:i/>
              </w:rPr>
              <w:t>2023 год – 0, 2022 год – 1</w:t>
            </w:r>
            <w:r>
              <w:t>).</w:t>
            </w:r>
          </w:p>
          <w:p>
            <w:pPr>
              <w:autoSpaceDE/>
              <w:autoSpaceDN/>
              <w:jc w:val="both"/>
            </w:pPr>
          </w:p>
          <w:p>
            <w:pPr>
              <w:autoSpaceDE/>
              <w:autoSpaceDN/>
              <w:jc w:val="both"/>
            </w:pPr>
          </w:p>
          <w:p>
            <w:pPr>
              <w:autoSpaceDE/>
              <w:autoSpaceDN/>
              <w:ind w:left="601"/>
              <w:jc w:val="both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>
                  <wp:extent cx="5478448" cy="2973788"/>
                  <wp:effectExtent l="0" t="0" r="27305" b="1714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>
            <w:pPr>
              <w:autoSpaceDE/>
              <w:autoSpaceDN/>
              <w:jc w:val="both"/>
              <w:rPr>
                <w:rFonts w:eastAsia="Calibri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</w:rPr>
            </w:pPr>
          </w:p>
          <w:p>
            <w:pPr>
              <w:autoSpaceDE/>
              <w:autoSpaceDN/>
              <w:ind w:firstLine="601"/>
              <w:jc w:val="both"/>
            </w:pPr>
            <w:r>
              <w:rPr>
                <w:rFonts w:eastAsia="Calibri"/>
              </w:rPr>
              <w:t>Анализ количества обращений, поступивших в 2024 году в инспекцию, показывает, что по сравнению с 2023 годом количество обращений увеличилось на 24,5% (</w:t>
            </w:r>
            <w:r>
              <w:rPr>
                <w:rFonts w:eastAsia="Calibri"/>
                <w:i/>
              </w:rPr>
              <w:t>на 184 обращения</w:t>
            </w:r>
            <w:r>
              <w:rPr>
                <w:rFonts w:eastAsia="Calibri"/>
              </w:rPr>
              <w:t xml:space="preserve">), по сравнению с 2022 годом количество обращений увеличилось на 35,5 % </w:t>
            </w:r>
            <w:proofErr w:type="gramStart"/>
            <w:r>
              <w:rPr>
                <w:rFonts w:eastAsia="Calibri"/>
              </w:rPr>
              <w:t xml:space="preserve">( </w:t>
            </w:r>
            <w:proofErr w:type="gramEnd"/>
            <w:r>
              <w:rPr>
                <w:rFonts w:eastAsia="Calibri"/>
                <w:i/>
              </w:rPr>
              <w:t>на 245 обращений</w:t>
            </w:r>
            <w:r>
              <w:rPr>
                <w:rFonts w:eastAsia="Calibri"/>
              </w:rPr>
              <w:t>).</w:t>
            </w:r>
          </w:p>
          <w:p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 xml:space="preserve"> Рассмотрение письменных обращений.</w:t>
            </w: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pStyle w:val="a6"/>
              <w:ind w:firstLine="60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адрес инспекции поступило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письменных обращений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2023 год – 728, 2022 год – 660</w:t>
            </w:r>
            <w:r>
              <w:rPr>
                <w:rFonts w:ascii="Times New Roman" w:hAnsi="Times New Roman"/>
                <w:sz w:val="28"/>
                <w:szCs w:val="28"/>
              </w:rPr>
              <w:t>), из них в форме электронного документа – 337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2023 год – 189, 2022 год – 215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>
            <w:pPr>
              <w:pStyle w:val="a6"/>
              <w:ind w:firstLine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сравнению с 2023 годом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письменных обращений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увеличилось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23%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 166 обращений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2021 год  - увеличилось на 35 % 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 234 обращения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>
            <w:pPr>
              <w:pStyle w:val="a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>
            <w:pPr>
              <w:pStyle w:val="a6"/>
              <w:keepNext/>
              <w:ind w:left="601" w:right="174"/>
              <w:jc w:val="both"/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05669" cy="3116911"/>
                  <wp:effectExtent l="0" t="0" r="14605" b="2667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autoSpaceDE/>
              <w:autoSpaceDN/>
              <w:jc w:val="both"/>
              <w:rPr>
                <w:b/>
              </w:rPr>
            </w:pPr>
          </w:p>
          <w:p>
            <w:pPr>
              <w:ind w:firstLine="567"/>
              <w:jc w:val="both"/>
              <w:rPr>
                <w:rFonts w:eastAsia="Calibri"/>
              </w:rPr>
            </w:pPr>
            <w:r>
              <w:rPr>
                <w:bCs/>
              </w:rPr>
              <w:t>По видам</w:t>
            </w:r>
            <w:r>
              <w:t xml:space="preserve"> письменные обращения подразделяются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>- </w:t>
            </w:r>
            <w:r>
              <w:rPr>
                <w:bCs/>
              </w:rPr>
              <w:t>заявления</w:t>
            </w:r>
            <w:r>
              <w:t xml:space="preserve"> - </w:t>
            </w:r>
            <w:r>
              <w:rPr>
                <w:color w:val="000000"/>
              </w:rPr>
              <w:t xml:space="preserve">914 </w:t>
            </w:r>
            <w:r>
              <w:t>(</w:t>
            </w:r>
            <w:r>
              <w:rPr>
                <w:i/>
              </w:rPr>
              <w:t>2023 год – 711, 2022 год – 637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>- </w:t>
            </w:r>
            <w:r>
              <w:rPr>
                <w:bCs/>
              </w:rPr>
              <w:t>жалобы</w:t>
            </w:r>
            <w:r>
              <w:t xml:space="preserve"> - 21 (</w:t>
            </w:r>
            <w:r>
              <w:rPr>
                <w:i/>
              </w:rPr>
              <w:t>2023 год – 38, 2022 год -</w:t>
            </w:r>
            <w:r>
              <w:rPr>
                <w:i/>
                <w:color w:val="000000"/>
              </w:rPr>
              <w:t>25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>- </w:t>
            </w:r>
            <w:r>
              <w:rPr>
                <w:bCs/>
              </w:rPr>
              <w:t>запросы</w:t>
            </w:r>
            <w:r>
              <w:t xml:space="preserve"> </w:t>
            </w:r>
            <w:r>
              <w:rPr>
                <w:bCs/>
              </w:rPr>
              <w:t>- 0 (</w:t>
            </w:r>
            <w:r>
              <w:rPr>
                <w:bCs/>
                <w:i/>
              </w:rPr>
              <w:t xml:space="preserve">2023 год – 0, 2022 год – </w:t>
            </w:r>
            <w:r>
              <w:rPr>
                <w:i/>
                <w:color w:val="000000"/>
              </w:rPr>
              <w:t>0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567"/>
              <w:jc w:val="both"/>
              <w:rPr>
                <w:bCs/>
                <w:i/>
              </w:rPr>
            </w:pPr>
            <w:r>
              <w:t>- </w:t>
            </w:r>
            <w:r>
              <w:rPr>
                <w:bCs/>
              </w:rPr>
              <w:t>предложения</w:t>
            </w:r>
            <w:r>
              <w:t xml:space="preserve"> – 0 </w:t>
            </w:r>
            <w:r>
              <w:rPr>
                <w:bCs/>
              </w:rPr>
              <w:t>(</w:t>
            </w:r>
            <w:r>
              <w:rPr>
                <w:bCs/>
                <w:i/>
              </w:rPr>
              <w:t xml:space="preserve">2023 год – 0, 2022 год – </w:t>
            </w:r>
            <w:r>
              <w:rPr>
                <w:i/>
                <w:color w:val="000000"/>
              </w:rPr>
              <w:t>0</w:t>
            </w:r>
            <w:r>
              <w:rPr>
                <w:color w:val="000000"/>
              </w:rPr>
              <w:t>),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 xml:space="preserve">- не обращения - 0 </w:t>
            </w:r>
            <w:r>
              <w:rPr>
                <w:bCs/>
              </w:rPr>
              <w:t>(</w:t>
            </w:r>
            <w:r>
              <w:rPr>
                <w:bCs/>
                <w:i/>
              </w:rPr>
              <w:t xml:space="preserve">2023 год – 0, 2022 год – </w:t>
            </w:r>
            <w:r>
              <w:rPr>
                <w:i/>
                <w:color w:val="000000"/>
              </w:rPr>
              <w:t>0</w:t>
            </w:r>
            <w:r>
              <w:rPr>
                <w:color w:val="000000"/>
              </w:rPr>
              <w:t>).</w:t>
            </w:r>
          </w:p>
          <w:p>
            <w:pPr>
              <w:autoSpaceDE/>
              <w:autoSpaceDN/>
              <w:ind w:firstLine="567"/>
              <w:jc w:val="both"/>
              <w:rPr>
                <w:color w:val="000000"/>
              </w:rPr>
            </w:pPr>
          </w:p>
          <w:p>
            <w:pPr>
              <w:autoSpaceDE/>
              <w:autoSpaceDN/>
              <w:ind w:left="601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581815" cy="3379304"/>
                  <wp:effectExtent l="0" t="0" r="19050" b="1206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>
            <w:pPr>
              <w:autoSpaceDE/>
              <w:autoSpaceDN/>
              <w:ind w:left="318"/>
              <w:jc w:val="both"/>
              <w:rPr>
                <w:color w:val="000000"/>
              </w:rPr>
            </w:pPr>
          </w:p>
          <w:p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Тематика вопросов письменных обращений, поступивших в инспекцию государственного строительного надзора Новосибирской области</w:t>
            </w:r>
          </w:p>
          <w:p>
            <w:pPr>
              <w:autoSpaceDE/>
              <w:autoSpaceDN/>
              <w:jc w:val="both"/>
            </w:pPr>
          </w:p>
          <w:p>
            <w:pPr>
              <w:ind w:left="34"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proofErr w:type="gramStart"/>
            <w:r>
              <w:rPr>
                <w:rFonts w:eastAsia="Calibri"/>
                <w:lang w:eastAsia="en-US"/>
              </w:rPr>
              <w:t>обращениях</w:t>
            </w:r>
            <w:proofErr w:type="gramEnd"/>
            <w:r>
              <w:rPr>
                <w:rFonts w:eastAsia="Calibri"/>
                <w:lang w:eastAsia="en-US"/>
              </w:rPr>
              <w:t xml:space="preserve"> граждан, поступивших в Инспекцию в 2024 году, наиболее часто встречались вопросы по тематикам: «Выполнение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rFonts w:eastAsia="Calibri"/>
                <w:lang w:eastAsia="en-US"/>
              </w:rPr>
              <w:t>СНИПов</w:t>
            </w:r>
            <w:proofErr w:type="spellEnd"/>
            <w:r>
              <w:rPr>
                <w:rFonts w:eastAsia="Calibri"/>
                <w:lang w:eastAsia="en-US"/>
              </w:rPr>
              <w:t>», «Устранение строительных недоделок», которые более детально можно охарактеризовать следующим образом: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несогласие граждан со строительством новых объектов;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негативное влияние нового строительства на существующую застройку;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нарушения на строительных площадках (шумные работы, отсутствие защитных ограждений, информационных щитов, отсутствие или не функционирование пункта мойки колес на строительных площадках и т.д.);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неудовлетворительное качество построенных многоквартирных жилых домов (строительные недоделки);</w:t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информирование о незаконно возводимых объектах капитального строительства (самовольное строительство).</w:t>
            </w:r>
            <w:r>
              <w:rPr>
                <w:rFonts w:eastAsia="Calibri"/>
                <w:noProof/>
              </w:rPr>
              <w:t xml:space="preserve"> </w:t>
            </w:r>
            <w:r>
              <w:rPr>
                <w:rFonts w:eastAsia="Calibri"/>
                <w:noProof/>
              </w:rPr>
              <w:drawing>
                <wp:inline distT="0" distB="0" distL="0" distR="0">
                  <wp:extent cx="5486400" cy="3200400"/>
                  <wp:effectExtent l="0" t="0" r="19050" b="1905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</w:p>
          <w:p>
            <w:pPr>
              <w:ind w:firstLine="601"/>
              <w:jc w:val="both"/>
              <w:rPr>
                <w:rFonts w:eastAsia="Calibri"/>
                <w:lang w:eastAsia="en-US"/>
              </w:rPr>
            </w:pPr>
          </w:p>
          <w:p>
            <w:pPr>
              <w:ind w:firstLine="601"/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Результативность рассмотрения</w:t>
            </w:r>
            <w:r>
              <w:rPr>
                <w:rFonts w:eastAsia="Calibri"/>
                <w:bCs/>
                <w:lang w:eastAsia="en-US"/>
              </w:rPr>
              <w:t xml:space="preserve"> вопросов, содержащихся в </w:t>
            </w:r>
            <w:r>
              <w:rPr>
                <w:rFonts w:eastAsia="Calibri"/>
                <w:lang w:eastAsia="en-US"/>
              </w:rPr>
              <w:t>письменных обращениях:</w:t>
            </w:r>
            <w:r>
              <w:rPr>
                <w:color w:val="000000"/>
              </w:rPr>
              <w:t xml:space="preserve">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</w:t>
            </w: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разъяснено – 694 </w:t>
            </w:r>
            <w:r>
              <w:t>(2023 год – 594, 2022 год – 537</w:t>
            </w:r>
            <w:r>
              <w:rPr>
                <w:color w:val="000000"/>
              </w:rPr>
              <w:t>),</w:t>
            </w:r>
          </w:p>
          <w:p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направлено по компетенции – 203 (2023 год – 155, 2022 – 119).</w:t>
            </w:r>
          </w:p>
          <w:p>
            <w:pPr>
              <w:jc w:val="both"/>
              <w:rPr>
                <w:color w:val="000000"/>
              </w:rPr>
            </w:pPr>
          </w:p>
          <w:p>
            <w:pPr>
              <w:jc w:val="both"/>
              <w:rPr>
                <w:color w:val="000000"/>
              </w:rPr>
            </w:pPr>
          </w:p>
          <w:p>
            <w:p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в инспекции организуется в соответствии с Федеральным </w:t>
            </w:r>
            <w:hyperlink r:id="rId1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 59-ФЗ, </w:t>
            </w:r>
            <w:hyperlink r:id="rId1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от 25.12.2006 № 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и приказом инспекции от 24.05.2021 № 2 «Об утверждении инструкции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организации работы с обращениями граждан».</w:t>
            </w:r>
          </w:p>
          <w:p>
            <w:pPr>
              <w:autoSpaceDE/>
              <w:ind w:firstLine="601"/>
              <w:jc w:val="both"/>
            </w:pPr>
            <w:r>
              <w:t xml:space="preserve">В 2024 году на личном приеме принято </w:t>
            </w:r>
            <w:r>
              <w:rPr>
                <w:b/>
              </w:rPr>
              <w:t xml:space="preserve">38 </w:t>
            </w:r>
            <w:r>
              <w:t xml:space="preserve">человек (в 2023 году – 15 человек, 2022 году - 19 человек). </w:t>
            </w:r>
          </w:p>
          <w:p>
            <w:pPr>
              <w:autoSpaceDE/>
              <w:ind w:firstLine="601"/>
              <w:jc w:val="both"/>
            </w:pPr>
          </w:p>
          <w:p>
            <w:pPr>
              <w:autoSpaceDE/>
              <w:ind w:firstLine="601"/>
              <w:jc w:val="both"/>
            </w:pPr>
          </w:p>
          <w:p>
            <w:pPr>
              <w:autoSpaceDE/>
              <w:ind w:firstLine="601"/>
              <w:jc w:val="both"/>
            </w:pPr>
          </w:p>
          <w:p>
            <w:pPr>
              <w:autoSpaceDE/>
              <w:ind w:left="60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noProof/>
              </w:rPr>
              <w:drawing>
                <wp:inline distT="0" distB="0" distL="0" distR="0">
                  <wp:extent cx="5486400" cy="3200400"/>
                  <wp:effectExtent l="0" t="0" r="19050" b="1905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>
            <w:pPr>
              <w:tabs>
                <w:tab w:val="left" w:pos="1603"/>
              </w:tabs>
              <w:autoSpaceDE/>
              <w:ind w:left="318"/>
              <w:jc w:val="both"/>
            </w:pPr>
            <w:r>
              <w:tab/>
            </w:r>
          </w:p>
          <w:p>
            <w:pPr>
              <w:tabs>
                <w:tab w:val="left" w:pos="1603"/>
              </w:tabs>
              <w:autoSpaceDE/>
              <w:ind w:left="318"/>
              <w:jc w:val="both"/>
            </w:pPr>
          </w:p>
          <w:p>
            <w:pPr>
              <w:autoSpaceDE/>
              <w:ind w:firstLine="601"/>
              <w:jc w:val="both"/>
            </w:pPr>
            <w:r>
              <w:t xml:space="preserve">В постоянном </w:t>
            </w:r>
            <w:proofErr w:type="gramStart"/>
            <w:r>
              <w:t>режиме</w:t>
            </w:r>
            <w:proofErr w:type="gramEnd"/>
            <w:r>
              <w:t xml:space="preserve"> применяется система личного приема граждан, в том числе в режиме видео-связи, аудио-связи и иных видов связи по вопросам, входящим в компетенцию инспекции. Вопросы обращений касались соблюдения градостроительного законодательства застройщиками и сроков ввода в эксплуатацию объектов капитального строительства на территории города Новосибирска.</w:t>
            </w:r>
          </w:p>
          <w:p>
            <w:pPr>
              <w:shd w:val="clear" w:color="auto" w:fill="FFFFFF"/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ind w:firstLine="709"/>
              <w:jc w:val="both"/>
            </w:pPr>
          </w:p>
          <w:p>
            <w:pPr>
              <w:tabs>
                <w:tab w:val="left" w:pos="709"/>
              </w:tabs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</w:rPr>
              <w:t>Устные сообщения и запросы в справочную телефонную службу инспекции</w:t>
            </w:r>
          </w:p>
          <w:p>
            <w:pPr>
              <w:pStyle w:val="a7"/>
              <w:tabs>
                <w:tab w:val="left" w:pos="709"/>
              </w:tabs>
              <w:autoSpaceDE/>
              <w:autoSpaceDN/>
              <w:ind w:left="1069"/>
              <w:rPr>
                <w:b/>
                <w:bCs/>
              </w:rPr>
            </w:pP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       В справочную телефонную службу инспекции поступило 3 </w:t>
            </w:r>
            <w:proofErr w:type="gramStart"/>
            <w:r>
              <w:rPr>
                <w:rFonts w:eastAsia="Calibri"/>
                <w:bCs/>
                <w:lang w:eastAsia="en-US"/>
              </w:rPr>
              <w:t>устных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сообщения (2023 год – 8, 2022 год – 10), в том числе в форме смс-сообщений – 0 (2023 год – 0, 2022 год – 1). </w:t>
            </w:r>
          </w:p>
          <w:p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>
            <w:pPr>
              <w:autoSpaceDE/>
              <w:autoSpaceDN/>
              <w:ind w:firstLine="60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noProof/>
              </w:rPr>
              <w:drawing>
                <wp:inline distT="0" distB="0" distL="0" distR="0">
                  <wp:extent cx="5367130" cy="2878373"/>
                  <wp:effectExtent l="0" t="0" r="24130" b="1778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>
            <w:pPr>
              <w:autoSpaceDE/>
              <w:jc w:val="both"/>
            </w:pPr>
          </w:p>
          <w:p>
            <w:pPr>
              <w:autoSpaceDE/>
              <w:rPr>
                <w:b/>
              </w:rPr>
            </w:pPr>
          </w:p>
          <w:p>
            <w:pPr>
              <w:autoSpaceDE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соблюдением порядка рассмотрения обращений граждан</w:t>
            </w:r>
          </w:p>
          <w:p>
            <w:pPr>
              <w:jc w:val="both"/>
              <w:rPr>
                <w:rFonts w:eastAsia="Calibri"/>
                <w:lang w:eastAsia="en-US"/>
              </w:rPr>
            </w:pPr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Организация работы в инспекции позволила в 2024 году обеспечить объективное, всестороннее и своевременное рассмотрение обращений граждан, своевременно принимать меры, направленные на восстановление или защиту нарушенных прав, свобод и законных интересов граждан.</w:t>
            </w:r>
          </w:p>
          <w:p>
            <w:pPr>
              <w:autoSpaceDE/>
              <w:autoSpaceDN/>
              <w:jc w:val="both"/>
            </w:pPr>
          </w:p>
        </w:tc>
      </w:tr>
    </w:tbl>
    <w:p/>
    <w:sectPr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87D13"/>
    <w:multiLevelType w:val="hybridMultilevel"/>
    <w:tmpl w:val="89FCFAA6"/>
    <w:lvl w:ilvl="0" w:tplc="B6989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consultantplus://offline/ref=F52AF9F01614C4D4659C3FE7AEFF4800CD60667A217DF41011D1D644DBD201C5AB0BF79B2125AD8A01D4DC43147DE2DAF942z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2AF9F01614C4D4659C21EAB8931609C76A3C7F227DF84F4C81D01384820790F94BA9C27262E6870BC9C0431D46zA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ru-RU" sz="1200"/>
              <a:t>Структура и количество обращений, поступивших в</a:t>
            </a:r>
            <a:r>
              <a:rPr lang="ru-RU" sz="1200" baseline="0"/>
              <a:t> </a:t>
            </a:r>
            <a:r>
              <a:rPr lang="ru-RU" sz="1200"/>
              <a:t>адрес</a:t>
            </a:r>
          </a:p>
          <a:p>
            <a:pPr algn="ctr">
              <a:defRPr sz="1200"/>
            </a:pPr>
            <a:r>
              <a:rPr lang="ru-RU" sz="1200"/>
              <a:t> инспекции государственного строительного надзора</a:t>
            </a:r>
          </a:p>
          <a:p>
            <a:pPr algn="ctr">
              <a:defRPr sz="1200"/>
            </a:pPr>
            <a:r>
              <a:rPr lang="ru-RU" sz="1200"/>
              <a:t> Новосибирской области</a:t>
            </a:r>
          </a:p>
        </c:rich>
      </c:tx>
      <c:layout>
        <c:manualLayout>
          <c:xMode val="edge"/>
          <c:yMode val="edge"/>
          <c:x val="0.11520122571816381"/>
          <c:y val="2.989603877990587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935</c:v>
                </c:pt>
                <c:pt idx="1">
                  <c:v>894</c:v>
                </c:pt>
                <c:pt idx="2">
                  <c:v>38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751</c:v>
                </c:pt>
                <c:pt idx="1">
                  <c:v>728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690</c:v>
                </c:pt>
                <c:pt idx="1">
                  <c:v>660</c:v>
                </c:pt>
                <c:pt idx="2">
                  <c:v>19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1585280"/>
        <c:axId val="421587968"/>
      </c:barChart>
      <c:catAx>
        <c:axId val="421585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421587968"/>
        <c:crosses val="autoZero"/>
        <c:auto val="1"/>
        <c:lblAlgn val="ctr"/>
        <c:lblOffset val="100"/>
        <c:noMultiLvlLbl val="0"/>
      </c:catAx>
      <c:valAx>
        <c:axId val="4215879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21585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письменных обращений, поступивших в адрес</a:t>
            </a:r>
          </a:p>
          <a:p>
            <a:pPr>
              <a:defRPr sz="1200"/>
            </a:pPr>
            <a:r>
              <a:rPr lang="ru-RU" sz="1200"/>
              <a:t>инспекции государственного строительного надзора</a:t>
            </a:r>
          </a:p>
          <a:p>
            <a:pPr>
              <a:defRPr sz="1200"/>
            </a:pPr>
            <a:r>
              <a:rPr lang="ru-RU" sz="1200"/>
              <a:t>Новосибирской области</a:t>
            </a:r>
          </a:p>
        </c:rich>
      </c:tx>
      <c:layout>
        <c:manualLayout>
          <c:xMode val="edge"/>
          <c:yMode val="edge"/>
          <c:x val="0.12344497102569529"/>
          <c:y val="0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365530240520099E-2"/>
          <c:y val="0.34503333782543688"/>
          <c:w val="0.88659533768404808"/>
          <c:h val="0.533929074668725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894</c:v>
                </c:pt>
                <c:pt idx="1">
                  <c:v>728</c:v>
                </c:pt>
                <c:pt idx="2">
                  <c:v>660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422483840"/>
        <c:axId val="422592512"/>
        <c:axId val="0"/>
      </c:bar3DChart>
      <c:catAx>
        <c:axId val="42248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2592512"/>
        <c:crosses val="autoZero"/>
        <c:auto val="1"/>
        <c:lblAlgn val="ctr"/>
        <c:lblOffset val="100"/>
        <c:noMultiLvlLbl val="0"/>
      </c:catAx>
      <c:valAx>
        <c:axId val="422592512"/>
        <c:scaling>
          <c:orientation val="minMax"/>
          <c:max val="1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22483840"/>
        <c:crosses val="autoZero"/>
        <c:crossBetween val="between"/>
        <c:majorUnit val="500"/>
        <c:minorUnit val="0.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Виды письменных обращений, поступивших в инспекцию государственного строительного надзора Новосибирской области</a:t>
            </a:r>
          </a:p>
        </c:rich>
      </c:tx>
      <c:layout>
        <c:manualLayout>
          <c:xMode val="edge"/>
          <c:yMode val="edge"/>
          <c:x val="0.14214928298411897"/>
          <c:y val="6.600919934513137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372498286809238"/>
          <c:y val="0.31465506149966543"/>
          <c:w val="0.86230578833712579"/>
          <c:h val="0.41116965158766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Лист3!$C$3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Лист3!$C$4:$C$8</c:f>
              <c:numCache>
                <c:formatCode>General</c:formatCode>
                <c:ptCount val="5"/>
                <c:pt idx="0">
                  <c:v>914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5B-4AF5-AA55-E56860D1C9B8}"/>
            </c:ext>
          </c:extLst>
        </c:ser>
        <c:ser>
          <c:idx val="1"/>
          <c:order val="1"/>
          <c:tx>
            <c:strRef>
              <c:f>Лист3!$D$3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Лист3!$D$4:$D$8</c:f>
              <c:numCache>
                <c:formatCode>General</c:formatCode>
                <c:ptCount val="5"/>
                <c:pt idx="0">
                  <c:v>711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5B-4AF5-AA55-E56860D1C9B8}"/>
            </c:ext>
          </c:extLst>
        </c:ser>
        <c:ser>
          <c:idx val="2"/>
          <c:order val="2"/>
          <c:tx>
            <c:strRef>
              <c:f>Лист3!$E$3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Лист3!$E$4:$E$8</c:f>
              <c:numCache>
                <c:formatCode>General</c:formatCode>
                <c:ptCount val="5"/>
                <c:pt idx="0">
                  <c:v>637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5B-4AF5-AA55-E56860D1C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2975744"/>
        <c:axId val="422998016"/>
      </c:barChart>
      <c:catAx>
        <c:axId val="422975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22998016"/>
        <c:crosses val="autoZero"/>
        <c:auto val="1"/>
        <c:lblAlgn val="ctr"/>
        <c:lblOffset val="100"/>
        <c:noMultiLvlLbl val="0"/>
      </c:catAx>
      <c:valAx>
        <c:axId val="4229980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обращений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229757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Структура вопросов, содержащихся в обращениях, поступивших в 2024 году</a:t>
            </a:r>
          </a:p>
        </c:rich>
      </c:tx>
      <c:layout>
        <c:manualLayout>
          <c:xMode val="edge"/>
          <c:yMode val="edge"/>
          <c:x val="0.17197342519685038"/>
          <c:y val="4.7619047619047616E-2"/>
        </c:manualLayout>
      </c:layout>
      <c:overlay val="1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вопросв, содержащихся в обращениях, поступивших в 2024 году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устранение строительных недочетов</c:v>
                </c:pt>
                <c:pt idx="1">
                  <c:v>несогласие граждан со строительством</c:v>
                </c:pt>
                <c:pt idx="2">
                  <c:v>негативное влияние нового строительства</c:v>
                </c:pt>
                <c:pt idx="3">
                  <c:v>нарушения на строительных площадках</c:v>
                </c:pt>
                <c:pt idx="4">
                  <c:v>самовольное строительство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150</c:v>
                </c:pt>
                <c:pt idx="1">
                  <c:v>100</c:v>
                </c:pt>
                <c:pt idx="2">
                  <c:v>100</c:v>
                </c:pt>
                <c:pt idx="3">
                  <c:v>250</c:v>
                </c:pt>
                <c:pt idx="4">
                  <c:v>165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073035141440648"/>
          <c:y val="0.20470409948756405"/>
          <c:w val="0.32018409157188688"/>
          <c:h val="0.597785653119359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роста/снижения количества обращений на личном приеме</a:t>
            </a:r>
          </a:p>
        </c:rich>
      </c:tx>
      <c:layout>
        <c:manualLayout>
          <c:xMode val="edge"/>
          <c:yMode val="edge"/>
          <c:x val="0.13068861184018665"/>
          <c:y val="8.771622297212848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15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422650624"/>
        <c:axId val="422652160"/>
        <c:axId val="0"/>
      </c:bar3DChart>
      <c:catAx>
        <c:axId val="42265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2652160"/>
        <c:crosses val="autoZero"/>
        <c:auto val="1"/>
        <c:lblAlgn val="ctr"/>
        <c:lblOffset val="100"/>
        <c:noMultiLvlLbl val="0"/>
      </c:catAx>
      <c:valAx>
        <c:axId val="4226521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22650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 количестве устных сообщений и запросов, поступивших в адрес инспекции государственного строительного надзора Новосибирской области</a:t>
            </a:r>
          </a:p>
        </c:rich>
      </c:tx>
      <c:layout>
        <c:manualLayout>
          <c:xMode val="edge"/>
          <c:yMode val="edge"/>
          <c:x val="0.13531824146981627"/>
          <c:y val="8.354049493813273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421234176"/>
        <c:axId val="421235712"/>
        <c:axId val="0"/>
      </c:bar3DChart>
      <c:catAx>
        <c:axId val="42123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1235712"/>
        <c:crosses val="autoZero"/>
        <c:auto val="1"/>
        <c:lblAlgn val="ctr"/>
        <c:lblOffset val="100"/>
        <c:noMultiLvlLbl val="0"/>
      </c:catAx>
      <c:valAx>
        <c:axId val="421235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21234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BF7163-1CE0-40B0-A78A-926531C0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3</cp:revision>
  <cp:lastPrinted>2022-03-02T09:07:00Z</cp:lastPrinted>
  <dcterms:created xsi:type="dcterms:W3CDTF">2025-02-13T09:43:00Z</dcterms:created>
  <dcterms:modified xsi:type="dcterms:W3CDTF">2025-02-13T09:51:00Z</dcterms:modified>
</cp:coreProperties>
</file>