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6" w:type="pct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645"/>
      </w:tblGrid>
      <w:tr>
        <w:trPr>
          <w:trHeight w:val="2275"/>
          <w:tblCellSpacing w:w="0" w:type="dxa"/>
        </w:trPr>
        <w:tc>
          <w:tcPr>
            <w:tcW w:w="9642" w:type="dxa"/>
            <w:hideMark/>
          </w:tcPr>
          <w:p>
            <w:pPr>
              <w:autoSpaceDE/>
              <w:autoSpaceDN/>
              <w:spacing w:before="300" w:after="180"/>
              <w:jc w:val="center"/>
              <w:outlineLvl w:val="0"/>
              <w:rPr>
                <w:b/>
                <w:color w:val="000000"/>
                <w:kern w:val="36"/>
              </w:rPr>
            </w:pPr>
            <w:r>
              <w:rPr>
                <w:b/>
                <w:color w:val="000000"/>
                <w:kern w:val="36"/>
              </w:rPr>
              <w:t xml:space="preserve">Информационно-аналитический обзор обращений граждан, поступивших в инспекцию государственного строительного надзора Новосибирской области во </w:t>
            </w:r>
            <w:r>
              <w:rPr>
                <w:b/>
                <w:color w:val="000000"/>
                <w:kern w:val="36"/>
                <w:lang w:val="en-US"/>
              </w:rPr>
              <w:t>II</w:t>
            </w:r>
            <w:r>
              <w:rPr>
                <w:b/>
                <w:color w:val="000000"/>
                <w:kern w:val="36"/>
              </w:rPr>
              <w:t xml:space="preserve"> квартале 2025 года </w:t>
            </w:r>
          </w:p>
          <w:tbl>
            <w:tblPr>
              <w:tblW w:w="942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9"/>
            </w:tblGrid>
            <w:tr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>
                  <w:pPr>
                    <w:autoSpaceDE/>
                    <w:autoSpaceDN/>
                    <w:rPr>
                      <w:rFonts w:ascii="Tahoma" w:hAnsi="Tahoma" w:cs="Tahoma"/>
                    </w:rPr>
                  </w:pPr>
                </w:p>
              </w:tc>
            </w:tr>
          </w:tbl>
          <w:p>
            <w:pPr>
              <w:autoSpaceDE/>
              <w:autoSpaceDN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         </w:t>
            </w:r>
            <w:r>
              <w:t xml:space="preserve">Рассмотрение обращений граждан, организаций и общественных объединений, направленных в инспекцию государственного строительного надзора  Новосибирской области (далее – инспекция), организовано и ведется в соответствии с Конституцией Российской Федерации, действующим федеральным и областным законодательством, правовыми актами Новосибирской области, правовыми актами инспекции. Организацию работы по объективному, всестороннему и своевременному рассмотрению обращений граждан осуществляет отдел кадровой работы и документационного обеспечения инспекции. </w:t>
            </w:r>
          </w:p>
          <w:p>
            <w:pPr>
              <w:autoSpaceDE/>
              <w:autoSpaceDN/>
              <w:ind w:firstLine="709"/>
              <w:jc w:val="both"/>
            </w:pPr>
            <w:r>
              <w:t>Возможность гражданам, представителям организаций и общественных объединений обратиться к начальнику инспекции реализована путем направления письменных обращений по почте, в форме электронного документа на официальный электронный адрес инспекции (gsn.nso.ru), лично (на личных приемах граждан), устно (по телефону), в форме смс-сообщения.</w:t>
            </w:r>
          </w:p>
          <w:p>
            <w:pPr>
              <w:autoSpaceDE/>
              <w:autoSpaceDN/>
              <w:ind w:firstLine="709"/>
              <w:jc w:val="both"/>
            </w:pPr>
            <w:r>
              <w:t xml:space="preserve"> Требования к организации работы с обращениями граждан, организаций и общественных объединений и проведению личного приема граждан в инспекции установлены приказом инспекции государственного строительного надзора Новосибирской области от 02.11.2023 № 8 «Об утверждении инструкции о порядке организации работы с обращениями граждан».</w:t>
            </w: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ind w:firstLine="709"/>
              <w:jc w:val="both"/>
            </w:pPr>
            <w:r>
              <w:t xml:space="preserve">Во </w:t>
            </w:r>
            <w:r>
              <w:rPr>
                <w:color w:val="000000"/>
                <w:kern w:val="36"/>
                <w:lang w:val="en-US"/>
              </w:rPr>
              <w:t>II</w:t>
            </w:r>
            <w:r>
              <w:rPr>
                <w:color w:val="000000"/>
                <w:kern w:val="36"/>
              </w:rPr>
              <w:t xml:space="preserve"> квартале</w:t>
            </w:r>
            <w:r>
              <w:t xml:space="preserve"> 2025 года в инспекцию поступило 169 обращений граждан (</w:t>
            </w:r>
            <w:r>
              <w:rPr>
                <w:color w:val="000000"/>
                <w:kern w:val="36"/>
                <w:lang w:val="en-US"/>
              </w:rPr>
              <w:t>I</w:t>
            </w:r>
            <w:r>
              <w:rPr>
                <w:color w:val="000000"/>
                <w:kern w:val="36"/>
              </w:rPr>
              <w:t xml:space="preserve"> кв. 2025 – 138, </w:t>
            </w:r>
            <w:r>
              <w:rPr>
                <w:color w:val="000000"/>
                <w:kern w:val="36"/>
                <w:lang w:val="en-US"/>
              </w:rPr>
              <w:t>II</w:t>
            </w:r>
            <w:r>
              <w:rPr>
                <w:color w:val="000000"/>
                <w:kern w:val="36"/>
              </w:rPr>
              <w:t xml:space="preserve"> кв. 2024 – 274</w:t>
            </w:r>
            <w:r>
              <w:t>) , в том числе:</w:t>
            </w:r>
          </w:p>
          <w:p>
            <w:pPr>
              <w:autoSpaceDE/>
              <w:autoSpaceDN/>
              <w:ind w:firstLine="709"/>
              <w:jc w:val="both"/>
            </w:pPr>
            <w:r>
              <w:t>1)</w:t>
            </w:r>
            <w:r>
              <w:tab/>
              <w:t>письменных обращений – 168 (</w:t>
            </w:r>
            <w:r>
              <w:rPr>
                <w:color w:val="000000"/>
                <w:kern w:val="36"/>
                <w:lang w:val="en-US"/>
              </w:rPr>
              <w:t>I</w:t>
            </w:r>
            <w:r>
              <w:rPr>
                <w:color w:val="000000"/>
                <w:kern w:val="36"/>
              </w:rPr>
              <w:t xml:space="preserve"> кв. 2025</w:t>
            </w:r>
            <w:r>
              <w:rPr>
                <w:color w:val="000000"/>
                <w:kern w:val="36"/>
              </w:rPr>
              <w:t xml:space="preserve">– 137, </w:t>
            </w:r>
            <w:r>
              <w:rPr>
                <w:color w:val="000000"/>
                <w:kern w:val="36"/>
                <w:lang w:val="en-US"/>
              </w:rPr>
              <w:t>II</w:t>
            </w:r>
            <w:r>
              <w:rPr>
                <w:color w:val="000000"/>
                <w:kern w:val="36"/>
              </w:rPr>
              <w:t xml:space="preserve"> кв. 2024 </w:t>
            </w:r>
            <w:r>
              <w:rPr>
                <w:color w:val="000000"/>
                <w:kern w:val="36"/>
              </w:rPr>
              <w:t>– 258</w:t>
            </w:r>
            <w:r>
              <w:t>), из них в форме электронного документа – 151 (</w:t>
            </w:r>
            <w:r>
              <w:rPr>
                <w:color w:val="000000"/>
                <w:kern w:val="36"/>
                <w:lang w:val="en-US"/>
              </w:rPr>
              <w:t>I</w:t>
            </w:r>
            <w:r>
              <w:rPr>
                <w:color w:val="000000"/>
                <w:kern w:val="36"/>
              </w:rPr>
              <w:t xml:space="preserve"> кв. 2025</w:t>
            </w:r>
            <w:r>
              <w:rPr>
                <w:color w:val="000000"/>
                <w:kern w:val="36"/>
              </w:rPr>
              <w:t xml:space="preserve">– 75, </w:t>
            </w:r>
            <w:r>
              <w:rPr>
                <w:color w:val="000000"/>
                <w:kern w:val="36"/>
                <w:lang w:val="en-US"/>
              </w:rPr>
              <w:t>II</w:t>
            </w:r>
            <w:r>
              <w:rPr>
                <w:color w:val="000000"/>
                <w:kern w:val="36"/>
              </w:rPr>
              <w:t xml:space="preserve"> кв. 2024 </w:t>
            </w:r>
            <w:r>
              <w:rPr>
                <w:color w:val="000000"/>
                <w:kern w:val="36"/>
              </w:rPr>
              <w:t>– 101</w:t>
            </w:r>
            <w:r>
              <w:t>);</w:t>
            </w:r>
          </w:p>
          <w:p>
            <w:pPr>
              <w:autoSpaceDE/>
              <w:autoSpaceDN/>
              <w:ind w:firstLine="709"/>
              <w:jc w:val="both"/>
            </w:pPr>
            <w:r>
              <w:t>2) устные обращения по телефону – 0</w:t>
            </w:r>
            <w:r>
              <w:rPr>
                <w:color w:val="000000"/>
                <w:kern w:val="36"/>
              </w:rPr>
              <w:t xml:space="preserve"> (</w:t>
            </w:r>
            <w:r>
              <w:rPr>
                <w:color w:val="000000"/>
                <w:kern w:val="36"/>
                <w:lang w:val="en-US"/>
              </w:rPr>
              <w:t>I</w:t>
            </w:r>
            <w:r>
              <w:rPr>
                <w:color w:val="000000"/>
                <w:kern w:val="36"/>
              </w:rPr>
              <w:t xml:space="preserve"> кв. 2025</w:t>
            </w:r>
            <w:r>
              <w:rPr>
                <w:color w:val="000000"/>
                <w:kern w:val="36"/>
              </w:rPr>
              <w:t xml:space="preserve">– 1, </w:t>
            </w:r>
            <w:r>
              <w:rPr>
                <w:color w:val="000000"/>
                <w:kern w:val="36"/>
                <w:lang w:val="en-US"/>
              </w:rPr>
              <w:t>II</w:t>
            </w:r>
            <w:r>
              <w:rPr>
                <w:color w:val="000000"/>
                <w:kern w:val="36"/>
              </w:rPr>
              <w:t xml:space="preserve"> кв. 2024 </w:t>
            </w:r>
            <w:r>
              <w:rPr>
                <w:color w:val="000000"/>
                <w:kern w:val="36"/>
              </w:rPr>
              <w:t>- 2;</w:t>
            </w:r>
          </w:p>
          <w:p>
            <w:pPr>
              <w:autoSpaceDE/>
              <w:autoSpaceDN/>
              <w:ind w:firstLine="709"/>
              <w:jc w:val="both"/>
            </w:pPr>
            <w:r>
              <w:t>3) личный прием – 1 (</w:t>
            </w:r>
            <w:r>
              <w:rPr>
                <w:color w:val="000000"/>
                <w:kern w:val="36"/>
                <w:lang w:val="en-US"/>
              </w:rPr>
              <w:t>I</w:t>
            </w:r>
            <w:r>
              <w:rPr>
                <w:color w:val="000000"/>
                <w:kern w:val="36"/>
              </w:rPr>
              <w:t xml:space="preserve"> кв. 2025</w:t>
            </w:r>
            <w:r>
              <w:rPr>
                <w:color w:val="000000"/>
                <w:kern w:val="36"/>
              </w:rPr>
              <w:t xml:space="preserve">– 0, </w:t>
            </w:r>
            <w:r>
              <w:rPr>
                <w:lang w:val="en-US"/>
              </w:rPr>
              <w:t>II</w:t>
            </w:r>
            <w:r>
              <w:rPr>
                <w:color w:val="000000"/>
                <w:kern w:val="36"/>
              </w:rPr>
              <w:t xml:space="preserve"> кв. 2024 – 14</w:t>
            </w:r>
            <w:r>
              <w:t>);</w:t>
            </w:r>
          </w:p>
          <w:p>
            <w:pPr>
              <w:autoSpaceDE/>
              <w:autoSpaceDN/>
              <w:ind w:firstLine="709"/>
              <w:jc w:val="both"/>
            </w:pPr>
            <w:r>
              <w:t>4) смс-сообщение - 0 (</w:t>
            </w:r>
            <w:r>
              <w:rPr>
                <w:color w:val="000000"/>
                <w:kern w:val="36"/>
                <w:lang w:val="en-US"/>
              </w:rPr>
              <w:t>I</w:t>
            </w:r>
            <w:r>
              <w:rPr>
                <w:color w:val="000000"/>
                <w:kern w:val="36"/>
              </w:rPr>
              <w:t xml:space="preserve"> кв. 2025</w:t>
            </w:r>
            <w:r>
              <w:rPr>
                <w:color w:val="000000"/>
                <w:kern w:val="36"/>
              </w:rPr>
              <w:t xml:space="preserve">– 0, </w:t>
            </w:r>
            <w:r>
              <w:rPr>
                <w:lang w:val="en-US"/>
              </w:rPr>
              <w:t>II</w:t>
            </w:r>
            <w:r>
              <w:rPr>
                <w:color w:val="000000"/>
                <w:kern w:val="36"/>
              </w:rPr>
              <w:t xml:space="preserve"> кв. 2024 – 0</w:t>
            </w:r>
            <w:r>
              <w:t>) .</w:t>
            </w: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jc w:val="both"/>
            </w:pPr>
          </w:p>
          <w:p>
            <w:pPr>
              <w:autoSpaceDE/>
              <w:autoSpaceDN/>
              <w:ind w:firstLine="709"/>
              <w:jc w:val="both"/>
            </w:pPr>
          </w:p>
          <w:p>
            <w:pPr>
              <w:autoSpaceDE/>
              <w:autoSpaceDN/>
              <w:jc w:val="both"/>
            </w:pPr>
          </w:p>
          <w:p>
            <w:pPr>
              <w:autoSpaceDE/>
              <w:autoSpaceDN/>
              <w:jc w:val="both"/>
            </w:pPr>
          </w:p>
          <w:p>
            <w:pPr>
              <w:autoSpaceDE/>
              <w:autoSpaceDN/>
              <w:jc w:val="both"/>
            </w:pPr>
          </w:p>
          <w:p>
            <w:pPr>
              <w:autoSpaceDE/>
              <w:autoSpaceDN/>
              <w:jc w:val="both"/>
            </w:pPr>
          </w:p>
          <w:p>
            <w:pPr>
              <w:autoSpaceDE/>
              <w:autoSpaceDN/>
              <w:jc w:val="both"/>
            </w:pPr>
          </w:p>
          <w:p>
            <w:pPr>
              <w:autoSpaceDE/>
              <w:autoSpaceDN/>
              <w:jc w:val="both"/>
            </w:pPr>
          </w:p>
          <w:p>
            <w:pPr>
              <w:autoSpaceDE/>
              <w:autoSpaceDN/>
              <w:jc w:val="both"/>
            </w:pPr>
          </w:p>
          <w:p>
            <w:pPr>
              <w:autoSpaceDE/>
              <w:autoSpaceDN/>
              <w:jc w:val="both"/>
            </w:pPr>
          </w:p>
          <w:p>
            <w:pPr>
              <w:widowControl w:val="0"/>
              <w:spacing w:before="70"/>
              <w:ind w:left="1655" w:right="555" w:hanging="384"/>
              <w:jc w:val="center"/>
              <w:rPr>
                <w:b/>
                <w:sz w:val="26"/>
                <w:szCs w:val="22"/>
                <w:lang w:eastAsia="en-US"/>
              </w:rPr>
            </w:pPr>
            <w:r>
              <w:rPr>
                <w:b/>
                <w:sz w:val="26"/>
                <w:szCs w:val="22"/>
                <w:lang w:eastAsia="en-US"/>
              </w:rPr>
              <w:t xml:space="preserve">Структура и количество обращений, поступивших в адрес инспекции государственного строительного надзора Новосибирской области во </w:t>
            </w:r>
            <w:r>
              <w:rPr>
                <w:b/>
                <w:sz w:val="26"/>
                <w:szCs w:val="22"/>
                <w:lang w:val="en-US" w:eastAsia="en-US"/>
              </w:rPr>
              <w:t>II</w:t>
            </w:r>
            <w:r>
              <w:rPr>
                <w:b/>
                <w:sz w:val="26"/>
                <w:szCs w:val="22"/>
                <w:lang w:eastAsia="en-US"/>
              </w:rPr>
              <w:t xml:space="preserve"> квартале</w:t>
            </w:r>
            <w:r>
              <w:rPr>
                <w:b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eastAsia="en-US"/>
              </w:rPr>
              <w:t>2025</w:t>
            </w:r>
            <w:r>
              <w:rPr>
                <w:b/>
                <w:spacing w:val="1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eastAsia="en-US"/>
              </w:rPr>
              <w:t>года</w:t>
            </w:r>
            <w:r>
              <w:rPr>
                <w:b/>
                <w:spacing w:val="-1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eastAsia="en-US"/>
              </w:rPr>
              <w:t>в сравнении</w:t>
            </w:r>
            <w:r>
              <w:rPr>
                <w:b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eastAsia="en-US"/>
              </w:rPr>
              <w:t>со</w:t>
            </w:r>
            <w:r>
              <w:rPr>
                <w:b/>
                <w:spacing w:val="1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val="en-US" w:eastAsia="en-US"/>
              </w:rPr>
              <w:t>I</w:t>
            </w:r>
            <w:r>
              <w:rPr>
                <w:b/>
                <w:sz w:val="26"/>
                <w:szCs w:val="22"/>
                <w:lang w:eastAsia="en-US"/>
              </w:rPr>
              <w:t xml:space="preserve"> кварталом</w:t>
            </w:r>
            <w:r>
              <w:rPr>
                <w:b/>
                <w:spacing w:val="1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eastAsia="en-US"/>
              </w:rPr>
              <w:t>2025</w:t>
            </w:r>
            <w:r>
              <w:rPr>
                <w:b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eastAsia="en-US"/>
              </w:rPr>
              <w:t>года</w:t>
            </w:r>
            <w:r>
              <w:rPr>
                <w:b/>
                <w:spacing w:val="1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eastAsia="en-US"/>
              </w:rPr>
              <w:t xml:space="preserve">и </w:t>
            </w:r>
            <w:r>
              <w:rPr>
                <w:b/>
                <w:sz w:val="26"/>
                <w:szCs w:val="22"/>
                <w:lang w:val="en-US" w:eastAsia="en-US"/>
              </w:rPr>
              <w:t>II</w:t>
            </w:r>
            <w:r>
              <w:rPr>
                <w:b/>
                <w:sz w:val="26"/>
                <w:szCs w:val="22"/>
                <w:lang w:eastAsia="en-US"/>
              </w:rPr>
              <w:t xml:space="preserve"> кварталом</w:t>
            </w:r>
            <w:r>
              <w:rPr>
                <w:b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eastAsia="en-US"/>
              </w:rPr>
              <w:t>2024</w:t>
            </w:r>
            <w:r>
              <w:rPr>
                <w:b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b/>
                <w:sz w:val="26"/>
                <w:szCs w:val="22"/>
                <w:lang w:eastAsia="en-US"/>
              </w:rPr>
              <w:t>года.</w:t>
            </w:r>
          </w:p>
          <w:p>
            <w:pPr>
              <w:widowControl w:val="0"/>
              <w:spacing w:before="70"/>
              <w:ind w:left="1655" w:right="555" w:hanging="384"/>
              <w:rPr>
                <w:b/>
                <w:sz w:val="26"/>
                <w:szCs w:val="22"/>
                <w:lang w:eastAsia="en-US"/>
              </w:rPr>
            </w:pPr>
          </w:p>
          <w:p>
            <w:pPr>
              <w:autoSpaceDE/>
              <w:autoSpaceDN/>
              <w:ind w:firstLine="709"/>
              <w:jc w:val="both"/>
            </w:pPr>
            <w:r>
              <w:rPr>
                <w:noProof/>
              </w:rPr>
              <w:drawing>
                <wp:inline distT="0" distB="0" distL="0" distR="0">
                  <wp:extent cx="5263764" cy="3697356"/>
                  <wp:effectExtent l="0" t="0" r="13335" b="1778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>
            <w:pPr>
              <w:autoSpaceDE/>
              <w:autoSpaceDN/>
              <w:jc w:val="both"/>
              <w:rPr>
                <w:lang w:val="en-US"/>
              </w:rPr>
            </w:pPr>
          </w:p>
          <w:p>
            <w:pPr>
              <w:autoSpaceDE/>
              <w:autoSpaceDN/>
              <w:jc w:val="both"/>
            </w:pPr>
          </w:p>
          <w:p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b/>
              </w:rPr>
            </w:pPr>
            <w:r>
              <w:rPr>
                <w:b/>
              </w:rPr>
              <w:t>Письменные обращения.</w:t>
            </w:r>
          </w:p>
          <w:p>
            <w:pPr>
              <w:autoSpaceDE/>
              <w:autoSpaceDN/>
              <w:ind w:left="1069"/>
              <w:jc w:val="both"/>
              <w:rPr>
                <w:b/>
              </w:rPr>
            </w:pPr>
          </w:p>
          <w:p>
            <w:pPr>
              <w:autoSpaceDE/>
              <w:autoSpaceDN/>
              <w:ind w:firstLine="709"/>
              <w:jc w:val="both"/>
            </w:pPr>
            <w:r>
              <w:t xml:space="preserve">Все письменные обращения, поступившие в инспекцию, </w:t>
            </w:r>
            <w:proofErr w:type="gramStart"/>
            <w:r>
              <w:t>зарегистрированы и поставлены</w:t>
            </w:r>
            <w:proofErr w:type="gramEnd"/>
            <w:r>
              <w:t xml:space="preserve"> на контроль.</w:t>
            </w:r>
          </w:p>
          <w:p>
            <w:pPr>
              <w:autoSpaceDE/>
              <w:autoSpaceDN/>
              <w:ind w:firstLine="709"/>
              <w:jc w:val="both"/>
            </w:pPr>
            <w:r>
              <w:t xml:space="preserve">Во </w:t>
            </w:r>
            <w:r>
              <w:rPr>
                <w:lang w:val="en-US"/>
              </w:rPr>
              <w:t>I</w:t>
            </w:r>
            <w:r>
              <w:rPr>
                <w:color w:val="000000"/>
                <w:kern w:val="36"/>
                <w:lang w:val="en-US"/>
              </w:rPr>
              <w:t>I</w:t>
            </w:r>
            <w:r>
              <w:rPr>
                <w:color w:val="000000"/>
                <w:kern w:val="36"/>
              </w:rPr>
              <w:t xml:space="preserve"> </w:t>
            </w:r>
            <w:r>
              <w:t>квартале 2025 года в адрес инспекции поступило 168 письменных обращений (</w:t>
            </w:r>
            <w:r>
              <w:rPr>
                <w:color w:val="000000"/>
                <w:kern w:val="36"/>
                <w:lang w:val="en-US"/>
              </w:rPr>
              <w:t>I</w:t>
            </w:r>
            <w:r>
              <w:rPr>
                <w:color w:val="000000"/>
                <w:kern w:val="36"/>
              </w:rPr>
              <w:t xml:space="preserve"> кв. 2025</w:t>
            </w:r>
            <w:r>
              <w:rPr>
                <w:color w:val="000000"/>
                <w:kern w:val="36"/>
              </w:rPr>
              <w:t xml:space="preserve">– 137, </w:t>
            </w:r>
            <w:r>
              <w:rPr>
                <w:lang w:val="en-US"/>
              </w:rPr>
              <w:t>II</w:t>
            </w:r>
            <w:r>
              <w:rPr>
                <w:color w:val="000000"/>
                <w:kern w:val="36"/>
              </w:rPr>
              <w:t xml:space="preserve"> кв. 2024 – 258</w:t>
            </w:r>
            <w:r>
              <w:t>).</w:t>
            </w:r>
          </w:p>
          <w:p>
            <w:pPr>
              <w:autoSpaceDE/>
              <w:autoSpaceDN/>
              <w:ind w:firstLine="709"/>
              <w:jc w:val="both"/>
            </w:pPr>
            <w:r>
              <w:t xml:space="preserve">По видам письменные обращения подразделяются </w:t>
            </w:r>
            <w:proofErr w:type="gramStart"/>
            <w:r>
              <w:t>на</w:t>
            </w:r>
            <w:proofErr w:type="gramEnd"/>
            <w:r>
              <w:t>:</w:t>
            </w:r>
          </w:p>
          <w:p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заявления – 166 (</w:t>
            </w:r>
            <w:r>
              <w:rPr>
                <w:color w:val="000000"/>
                <w:kern w:val="36"/>
                <w:lang w:val="en-US"/>
              </w:rPr>
              <w:t>I</w:t>
            </w:r>
            <w:r>
              <w:rPr>
                <w:color w:val="000000"/>
                <w:kern w:val="36"/>
              </w:rPr>
              <w:t xml:space="preserve"> кв. 2025</w:t>
            </w:r>
            <w:r>
              <w:rPr>
                <w:color w:val="000000"/>
                <w:kern w:val="36"/>
              </w:rPr>
              <w:t xml:space="preserve">– 136, </w:t>
            </w:r>
            <w:r>
              <w:rPr>
                <w:lang w:val="en-US"/>
              </w:rPr>
              <w:t>II</w:t>
            </w:r>
            <w:r>
              <w:rPr>
                <w:color w:val="000000"/>
                <w:kern w:val="36"/>
              </w:rPr>
              <w:t xml:space="preserve"> кв. 2024 – 251</w:t>
            </w:r>
            <w:r>
              <w:rPr>
                <w:color w:val="000000"/>
              </w:rPr>
              <w:t>),</w:t>
            </w:r>
          </w:p>
          <w:p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жалобы – 2 (</w:t>
            </w:r>
            <w:r>
              <w:rPr>
                <w:color w:val="000000"/>
                <w:kern w:val="36"/>
                <w:lang w:val="en-US"/>
              </w:rPr>
              <w:t>I</w:t>
            </w:r>
            <w:r>
              <w:rPr>
                <w:color w:val="000000"/>
                <w:kern w:val="36"/>
              </w:rPr>
              <w:t xml:space="preserve"> кв. 2025</w:t>
            </w:r>
            <w:r>
              <w:rPr>
                <w:color w:val="000000"/>
                <w:kern w:val="36"/>
              </w:rPr>
              <w:t xml:space="preserve">– 1, </w:t>
            </w:r>
            <w:r>
              <w:rPr>
                <w:lang w:val="en-US"/>
              </w:rPr>
              <w:t>II</w:t>
            </w:r>
            <w:r>
              <w:rPr>
                <w:color w:val="000000"/>
                <w:kern w:val="36"/>
              </w:rPr>
              <w:t xml:space="preserve"> кв. 2024 – 7</w:t>
            </w:r>
            <w:r>
              <w:rPr>
                <w:color w:val="000000"/>
              </w:rPr>
              <w:t>),</w:t>
            </w:r>
          </w:p>
          <w:p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запросы – 0 (</w:t>
            </w:r>
            <w:r>
              <w:rPr>
                <w:color w:val="000000"/>
                <w:kern w:val="36"/>
                <w:lang w:val="en-US"/>
              </w:rPr>
              <w:t>I</w:t>
            </w:r>
            <w:r>
              <w:rPr>
                <w:color w:val="000000"/>
                <w:kern w:val="36"/>
              </w:rPr>
              <w:t xml:space="preserve"> кв. 2025</w:t>
            </w:r>
            <w:r>
              <w:rPr>
                <w:color w:val="000000"/>
                <w:kern w:val="36"/>
              </w:rPr>
              <w:t xml:space="preserve">– 0, </w:t>
            </w:r>
            <w:r>
              <w:rPr>
                <w:lang w:val="en-US"/>
              </w:rPr>
              <w:t>II</w:t>
            </w:r>
            <w:r>
              <w:rPr>
                <w:color w:val="000000"/>
                <w:kern w:val="36"/>
              </w:rPr>
              <w:t xml:space="preserve"> кв. 2024 – 0</w:t>
            </w:r>
            <w:r>
              <w:rPr>
                <w:color w:val="000000"/>
              </w:rPr>
              <w:t>),</w:t>
            </w:r>
          </w:p>
          <w:p>
            <w:pPr>
              <w:autoSpaceDE/>
              <w:autoSpaceDN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предложения – 0 (</w:t>
            </w:r>
            <w:r>
              <w:rPr>
                <w:color w:val="000000"/>
                <w:kern w:val="36"/>
                <w:lang w:val="en-US"/>
              </w:rPr>
              <w:t>I</w:t>
            </w:r>
            <w:r>
              <w:rPr>
                <w:color w:val="000000"/>
                <w:kern w:val="36"/>
              </w:rPr>
              <w:t xml:space="preserve"> кв. 2025</w:t>
            </w:r>
            <w:r>
              <w:rPr>
                <w:color w:val="000000"/>
                <w:kern w:val="36"/>
              </w:rPr>
              <w:t xml:space="preserve"> – 0, </w:t>
            </w:r>
            <w:r>
              <w:rPr>
                <w:color w:val="000000"/>
                <w:kern w:val="36"/>
                <w:lang w:val="en-US"/>
              </w:rPr>
              <w:t>I</w:t>
            </w:r>
            <w:r>
              <w:rPr>
                <w:lang w:val="en-US"/>
              </w:rPr>
              <w:t>I</w:t>
            </w:r>
            <w:r>
              <w:rPr>
                <w:color w:val="000000"/>
                <w:kern w:val="36"/>
              </w:rPr>
              <w:t xml:space="preserve"> кв. 2024 – 0</w:t>
            </w:r>
            <w:r>
              <w:rPr>
                <w:color w:val="000000"/>
              </w:rPr>
              <w:t>),</w:t>
            </w:r>
          </w:p>
          <w:p>
            <w:pPr>
              <w:autoSpaceDE/>
              <w:autoSpaceDN/>
              <w:ind w:firstLine="709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>- не обращения – 0 (</w:t>
            </w:r>
            <w:r>
              <w:rPr>
                <w:color w:val="000000"/>
                <w:kern w:val="36"/>
                <w:lang w:val="en-US"/>
              </w:rPr>
              <w:t>I</w:t>
            </w:r>
            <w:r>
              <w:rPr>
                <w:color w:val="000000"/>
                <w:kern w:val="36"/>
              </w:rPr>
              <w:t xml:space="preserve"> кв. 2025</w:t>
            </w:r>
            <w:r>
              <w:rPr>
                <w:color w:val="000000"/>
                <w:kern w:val="36"/>
              </w:rPr>
              <w:t xml:space="preserve">– 0, </w:t>
            </w:r>
            <w:r>
              <w:rPr>
                <w:color w:val="000000"/>
                <w:kern w:val="36"/>
                <w:lang w:val="en-US"/>
              </w:rPr>
              <w:t>I</w:t>
            </w:r>
            <w:r>
              <w:rPr>
                <w:lang w:val="en-US"/>
              </w:rPr>
              <w:t>I</w:t>
            </w:r>
            <w:r>
              <w:rPr>
                <w:color w:val="000000"/>
                <w:kern w:val="36"/>
              </w:rPr>
              <w:t xml:space="preserve"> кв. 2024 – 0</w:t>
            </w:r>
            <w:r>
              <w:rPr>
                <w:color w:val="000000"/>
              </w:rPr>
              <w:t>).</w:t>
            </w:r>
          </w:p>
          <w:p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Обращение снимается с контроля только в случае объективного</w:t>
            </w:r>
            <w:r>
              <w:t xml:space="preserve">, </w:t>
            </w:r>
            <w:r>
              <w:rPr>
                <w:color w:val="000000"/>
              </w:rPr>
              <w:t xml:space="preserve">всестороннего и своевременного рассмотрения.  </w:t>
            </w:r>
          </w:p>
          <w:p>
            <w:pPr>
              <w:ind w:firstLine="709"/>
              <w:jc w:val="both"/>
              <w:rPr>
                <w:color w:val="000000"/>
              </w:rPr>
            </w:pPr>
          </w:p>
          <w:p>
            <w:pPr>
              <w:ind w:firstLine="709"/>
              <w:jc w:val="both"/>
              <w:rPr>
                <w:color w:val="000000"/>
              </w:rPr>
            </w:pPr>
          </w:p>
          <w:p>
            <w:pPr>
              <w:ind w:firstLine="709"/>
              <w:jc w:val="both"/>
              <w:rPr>
                <w:color w:val="000000"/>
              </w:rPr>
            </w:pPr>
          </w:p>
          <w:p>
            <w:pPr>
              <w:ind w:firstLine="709"/>
              <w:jc w:val="both"/>
              <w:rPr>
                <w:color w:val="000000"/>
              </w:rPr>
            </w:pPr>
          </w:p>
          <w:p>
            <w:pPr>
              <w:ind w:firstLine="709"/>
              <w:jc w:val="both"/>
              <w:rPr>
                <w:color w:val="000000"/>
              </w:rPr>
            </w:pPr>
          </w:p>
          <w:p>
            <w:pPr>
              <w:ind w:firstLine="709"/>
              <w:jc w:val="both"/>
              <w:rPr>
                <w:color w:val="000000"/>
              </w:rPr>
            </w:pPr>
          </w:p>
          <w:p>
            <w:pPr>
              <w:ind w:firstLine="709"/>
              <w:jc w:val="both"/>
              <w:rPr>
                <w:color w:val="000000"/>
              </w:rPr>
            </w:pPr>
          </w:p>
          <w:p>
            <w:pPr>
              <w:jc w:val="both"/>
              <w:rPr>
                <w:color w:val="000000"/>
              </w:rPr>
            </w:pPr>
          </w:p>
          <w:p>
            <w:pPr>
              <w:spacing w:before="70"/>
              <w:ind w:left="707" w:firstLine="909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  <w:szCs w:val="26"/>
              </w:rPr>
              <w:t>Количество письменных обращений, поступивших в инспекцию государственного строительного надзора Новосибирской области</w:t>
            </w:r>
            <w:r>
              <w:rPr>
                <w:b/>
                <w:sz w:val="26"/>
              </w:rPr>
              <w:t xml:space="preserve"> во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  <w:lang w:val="en-US"/>
              </w:rPr>
              <w:t>II</w:t>
            </w:r>
            <w:r>
              <w:rPr>
                <w:b/>
                <w:sz w:val="26"/>
              </w:rPr>
              <w:t xml:space="preserve"> квартале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2025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года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сравнении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  <w:lang w:val="en-US"/>
              </w:rPr>
              <w:t>I</w:t>
            </w:r>
            <w:r>
              <w:rPr>
                <w:b/>
                <w:sz w:val="26"/>
              </w:rPr>
              <w:t xml:space="preserve"> кварталом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2025 года</w:t>
            </w:r>
          </w:p>
          <w:p>
            <w:pPr>
              <w:ind w:firstLine="709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  <w:lang w:val="en-US"/>
              </w:rPr>
              <w:t xml:space="preserve">II </w:t>
            </w:r>
            <w:r>
              <w:rPr>
                <w:b/>
                <w:sz w:val="26"/>
              </w:rPr>
              <w:t>кварталом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2024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года</w:t>
            </w:r>
            <w:r>
              <w:rPr>
                <w:b/>
                <w:color w:val="000000"/>
                <w:sz w:val="26"/>
                <w:szCs w:val="26"/>
              </w:rPr>
              <w:t>.</w:t>
            </w:r>
          </w:p>
          <w:p>
            <w:pPr>
              <w:ind w:firstLine="709"/>
              <w:jc w:val="center"/>
              <w:rPr>
                <w:b/>
                <w:color w:val="000000"/>
                <w:sz w:val="26"/>
                <w:szCs w:val="26"/>
              </w:rPr>
            </w:pPr>
          </w:p>
          <w:p>
            <w:pPr>
              <w:ind w:firstLine="709"/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5581815" cy="3204375"/>
                  <wp:effectExtent l="0" t="0" r="19050" b="1524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>
            <w:pPr>
              <w:jc w:val="both"/>
              <w:rPr>
                <w:color w:val="000000"/>
              </w:rPr>
            </w:pPr>
          </w:p>
          <w:p>
            <w:pPr>
              <w:jc w:val="both"/>
              <w:rPr>
                <w:color w:val="000000"/>
              </w:rPr>
            </w:pPr>
          </w:p>
          <w:p>
            <w:pPr>
              <w:jc w:val="both"/>
              <w:rPr>
                <w:color w:val="000000"/>
              </w:rPr>
            </w:pPr>
          </w:p>
          <w:p>
            <w:pPr>
              <w:ind w:firstLine="709"/>
              <w:jc w:val="both"/>
              <w:rPr>
                <w:i/>
                <w:color w:val="000000"/>
              </w:rPr>
            </w:pPr>
          </w:p>
          <w:p>
            <w:pPr>
              <w:pStyle w:val="a6"/>
              <w:numPr>
                <w:ilvl w:val="0"/>
                <w:numId w:val="1"/>
              </w:numPr>
              <w:autoSpaceDE/>
              <w:autoSpaceDN/>
              <w:jc w:val="both"/>
              <w:rPr>
                <w:b/>
              </w:rPr>
            </w:pPr>
            <w:r>
              <w:rPr>
                <w:b/>
              </w:rPr>
              <w:t>Личный прием.</w:t>
            </w:r>
          </w:p>
          <w:p>
            <w:pPr>
              <w:pStyle w:val="a6"/>
              <w:autoSpaceDE/>
              <w:autoSpaceDN/>
              <w:ind w:left="1069"/>
              <w:jc w:val="both"/>
              <w:rPr>
                <w:b/>
              </w:rPr>
            </w:pPr>
          </w:p>
          <w:p>
            <w:pPr>
              <w:autoSpaceDE/>
              <w:autoSpaceDN/>
              <w:ind w:firstLine="709"/>
              <w:jc w:val="both"/>
              <w:rPr>
                <w:b/>
              </w:rPr>
            </w:pPr>
            <w:proofErr w:type="gramStart"/>
            <w:r>
              <w:t>В соответствии с постановлением Губернатора Новосибирской области от</w:t>
            </w:r>
            <w:r>
              <w:rPr>
                <w:spacing w:val="1"/>
              </w:rPr>
              <w:t xml:space="preserve"> </w:t>
            </w:r>
            <w:r>
              <w:t>25.12.2006</w:t>
            </w:r>
            <w:r>
              <w:rPr>
                <w:spacing w:val="1"/>
              </w:rPr>
              <w:t xml:space="preserve"> </w:t>
            </w:r>
            <w:r>
              <w:t>№ 516 «О совершенствовании организации личных приемов граждан в</w:t>
            </w:r>
            <w:r>
              <w:rPr>
                <w:spacing w:val="-67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t>Губернатора</w:t>
            </w:r>
            <w:r>
              <w:rPr>
                <w:spacing w:val="1"/>
              </w:rPr>
              <w:t xml:space="preserve"> </w:t>
            </w:r>
            <w:r>
              <w:t>Новосибирской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Правительства</w:t>
            </w:r>
            <w:r>
              <w:rPr>
                <w:spacing w:val="1"/>
              </w:rPr>
              <w:t xml:space="preserve"> </w:t>
            </w:r>
            <w:r>
              <w:t>Новосибирской</w:t>
            </w:r>
            <w:r>
              <w:rPr>
                <w:spacing w:val="1"/>
              </w:rPr>
              <w:t xml:space="preserve"> </w:t>
            </w:r>
            <w:r>
              <w:t>области,</w:t>
            </w:r>
            <w:r>
              <w:rPr>
                <w:spacing w:val="1"/>
              </w:rPr>
              <w:t xml:space="preserve"> </w:t>
            </w:r>
            <w:r>
              <w:t>областных</w:t>
            </w:r>
            <w:r>
              <w:rPr>
                <w:spacing w:val="1"/>
              </w:rPr>
              <w:t xml:space="preserve"> </w:t>
            </w:r>
            <w:r>
              <w:t>исполнительных</w:t>
            </w:r>
            <w:r>
              <w:rPr>
                <w:spacing w:val="1"/>
              </w:rPr>
              <w:t xml:space="preserve"> </w:t>
            </w:r>
            <w:r>
              <w:t>органах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власти</w:t>
            </w:r>
            <w:r>
              <w:rPr>
                <w:spacing w:val="1"/>
              </w:rPr>
              <w:t xml:space="preserve"> </w:t>
            </w:r>
            <w:r>
              <w:t>Новосибирской</w:t>
            </w:r>
            <w:r>
              <w:rPr>
                <w:spacing w:val="1"/>
              </w:rPr>
              <w:t xml:space="preserve"> </w:t>
            </w:r>
            <w:r>
              <w:t>области»</w:t>
            </w:r>
            <w:r>
              <w:rPr>
                <w:spacing w:val="1"/>
              </w:rPr>
              <w:t xml:space="preserve"> </w:t>
            </w:r>
            <w:r>
              <w:t>установлен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единый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личного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приема</w:t>
            </w:r>
            <w:r>
              <w:rPr>
                <w:b/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1"/>
              </w:rPr>
              <w:t xml:space="preserve"> </w:t>
            </w:r>
            <w:r>
              <w:t>Губернатором</w:t>
            </w:r>
            <w:r>
              <w:rPr>
                <w:spacing w:val="1"/>
              </w:rPr>
              <w:t xml:space="preserve"> </w:t>
            </w:r>
            <w:r>
              <w:t>Новосибирской</w:t>
            </w:r>
            <w:r>
              <w:rPr>
                <w:spacing w:val="1"/>
              </w:rPr>
              <w:t xml:space="preserve"> </w:t>
            </w:r>
            <w:r>
              <w:t>области,</w:t>
            </w:r>
            <w:r>
              <w:rPr>
                <w:spacing w:val="1"/>
              </w:rPr>
              <w:t xml:space="preserve"> </w:t>
            </w:r>
            <w:r>
              <w:t>заместителями</w:t>
            </w:r>
            <w:r>
              <w:rPr>
                <w:spacing w:val="1"/>
              </w:rPr>
              <w:t xml:space="preserve"> </w:t>
            </w:r>
            <w:r>
              <w:t>Губернатора</w:t>
            </w:r>
            <w:r>
              <w:rPr>
                <w:spacing w:val="-67"/>
              </w:rPr>
              <w:t xml:space="preserve"> </w:t>
            </w:r>
            <w:r>
              <w:t>Новосибирской</w:t>
            </w:r>
            <w:r>
              <w:rPr>
                <w:spacing w:val="1"/>
              </w:rPr>
              <w:t xml:space="preserve"> </w:t>
            </w:r>
            <w:r>
              <w:t>области,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  <w:r>
              <w:rPr>
                <w:spacing w:val="1"/>
              </w:rPr>
              <w:t xml:space="preserve"> </w:t>
            </w:r>
            <w:r>
              <w:t>структурных</w:t>
            </w:r>
            <w:r>
              <w:rPr>
                <w:spacing w:val="1"/>
              </w:rPr>
              <w:t xml:space="preserve"> </w:t>
            </w:r>
            <w:r>
              <w:t>подразделений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t>Губернатора</w:t>
            </w:r>
            <w:r>
              <w:rPr>
                <w:spacing w:val="1"/>
              </w:rPr>
              <w:t xml:space="preserve"> </w:t>
            </w:r>
            <w:r>
              <w:t>Новосибирской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Правительства</w:t>
            </w:r>
            <w:r>
              <w:rPr>
                <w:spacing w:val="1"/>
              </w:rPr>
              <w:t xml:space="preserve"> </w:t>
            </w:r>
            <w:r>
              <w:t>Новосибирской</w:t>
            </w:r>
            <w:r>
              <w:rPr>
                <w:spacing w:val="1"/>
              </w:rPr>
              <w:t xml:space="preserve"> </w:t>
            </w:r>
            <w:r>
              <w:t>области,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  <w:r>
              <w:rPr>
                <w:spacing w:val="1"/>
              </w:rPr>
              <w:t xml:space="preserve"> </w:t>
            </w:r>
            <w:r>
              <w:t>областных</w:t>
            </w:r>
            <w:r>
              <w:rPr>
                <w:spacing w:val="1"/>
              </w:rPr>
              <w:t xml:space="preserve"> </w:t>
            </w:r>
            <w:r>
              <w:t>исполнительных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proofErr w:type="gramEnd"/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1"/>
              </w:rPr>
              <w:t xml:space="preserve"> </w:t>
            </w:r>
            <w:r>
              <w:t>власти Новосибирской области – каждая пятница месяца с 14.00 до 17.00.</w:t>
            </w:r>
          </w:p>
          <w:p>
            <w:pPr>
              <w:autoSpaceDE/>
              <w:ind w:firstLine="709"/>
              <w:jc w:val="both"/>
              <w:rPr>
                <w:color w:val="000000"/>
                <w:kern w:val="36"/>
              </w:rPr>
            </w:pPr>
            <w:r>
              <w:t xml:space="preserve">Во </w:t>
            </w:r>
            <w:r>
              <w:rPr>
                <w:lang w:val="en-US"/>
              </w:rPr>
              <w:t>II</w:t>
            </w:r>
            <w:r>
              <w:rPr>
                <w:color w:val="000000"/>
                <w:kern w:val="36"/>
              </w:rPr>
              <w:t xml:space="preserve"> квартале</w:t>
            </w:r>
            <w:r>
              <w:t xml:space="preserve"> 2025 года был проведен 1 личный прием (</w:t>
            </w:r>
            <w:r>
              <w:rPr>
                <w:color w:val="000000"/>
                <w:kern w:val="36"/>
                <w:lang w:val="en-US"/>
              </w:rPr>
              <w:t>I</w:t>
            </w:r>
            <w:r>
              <w:rPr>
                <w:color w:val="000000"/>
                <w:kern w:val="36"/>
              </w:rPr>
              <w:t xml:space="preserve"> кв. 2025</w:t>
            </w:r>
            <w:r>
              <w:rPr>
                <w:color w:val="000000"/>
                <w:kern w:val="36"/>
              </w:rPr>
              <w:t xml:space="preserve"> – 0 личных приемов, </w:t>
            </w:r>
            <w:r>
              <w:rPr>
                <w:color w:val="000000"/>
                <w:kern w:val="36"/>
                <w:lang w:val="en-US"/>
              </w:rPr>
              <w:t>II</w:t>
            </w:r>
            <w:r>
              <w:rPr>
                <w:color w:val="000000"/>
                <w:kern w:val="36"/>
              </w:rPr>
              <w:t xml:space="preserve"> кв. 2024 – 14 личных приемов).</w:t>
            </w:r>
          </w:p>
          <w:p>
            <w:pPr>
              <w:autoSpaceDE/>
              <w:ind w:firstLine="709"/>
              <w:jc w:val="both"/>
            </w:pPr>
            <w:r>
              <w:t xml:space="preserve">В постоянном </w:t>
            </w:r>
            <w:proofErr w:type="gramStart"/>
            <w:r>
              <w:t>режиме</w:t>
            </w:r>
            <w:proofErr w:type="gramEnd"/>
            <w:r>
              <w:t xml:space="preserve"> применяется система личного приема граждан, обеспечивающая право граждан на получение ответов, в том числе в режиме видео-связи, аудио-связи и иных видов связи по вопросам, входящим в компетенцию инспекции. </w:t>
            </w:r>
          </w:p>
          <w:p>
            <w:pPr>
              <w:autoSpaceDE/>
              <w:ind w:firstLine="709"/>
              <w:jc w:val="both"/>
              <w:rPr>
                <w:rFonts w:ascii="Tahoma" w:hAnsi="Tahoma" w:cs="Tahoma"/>
                <w:i/>
              </w:rPr>
            </w:pPr>
            <w:r>
              <w:t>Вопросы обращений касались соблюдения градостроительного законодательства застройщиками при проведении строительных работ.</w:t>
            </w:r>
          </w:p>
        </w:tc>
      </w:tr>
    </w:tbl>
    <w:p>
      <w:pPr>
        <w:autoSpaceDE/>
        <w:autoSpaceDN/>
        <w:spacing w:before="300" w:after="180"/>
        <w:jc w:val="center"/>
        <w:outlineLvl w:val="0"/>
        <w:rPr>
          <w:rFonts w:eastAsia="Calibri"/>
          <w:b/>
          <w:lang w:eastAsia="en-US"/>
        </w:rPr>
      </w:pPr>
      <w:r>
        <w:rPr>
          <w:b/>
          <w:color w:val="000000"/>
          <w:kern w:val="36"/>
        </w:rPr>
        <w:t xml:space="preserve">Тематика обзора обращений граждан, поступивших в инспекцию государственного строительного надзора Новосибирской  области                                        </w:t>
      </w:r>
      <w:r>
        <w:rPr>
          <w:rFonts w:eastAsia="Calibri"/>
          <w:b/>
          <w:lang w:eastAsia="en-US"/>
        </w:rPr>
        <w:t>во</w:t>
      </w:r>
      <w:r>
        <w:rPr>
          <w:b/>
          <w:color w:val="000000"/>
          <w:kern w:val="36"/>
        </w:rPr>
        <w:t xml:space="preserve"> </w:t>
      </w:r>
      <w:r>
        <w:rPr>
          <w:b/>
          <w:color w:val="000000"/>
          <w:kern w:val="36"/>
          <w:lang w:val="en-US"/>
        </w:rPr>
        <w:t>II</w:t>
      </w:r>
      <w:r>
        <w:rPr>
          <w:b/>
          <w:color w:val="000000"/>
          <w:kern w:val="36"/>
        </w:rPr>
        <w:t xml:space="preserve"> кв.</w:t>
      </w:r>
      <w:r>
        <w:rPr>
          <w:b/>
        </w:rPr>
        <w:t xml:space="preserve"> 2025/</w:t>
      </w:r>
      <w:r>
        <w:rPr>
          <w:rFonts w:eastAsia="Calibri"/>
          <w:b/>
          <w:lang w:eastAsia="en-US"/>
        </w:rPr>
        <w:t xml:space="preserve"> </w:t>
      </w:r>
      <w:r>
        <w:rPr>
          <w:b/>
          <w:color w:val="000000"/>
          <w:kern w:val="36"/>
          <w:lang w:val="en-US"/>
        </w:rPr>
        <w:t>I</w:t>
      </w:r>
      <w:r>
        <w:rPr>
          <w:b/>
          <w:color w:val="000000"/>
          <w:kern w:val="36"/>
        </w:rPr>
        <w:t xml:space="preserve"> кв.</w:t>
      </w:r>
      <w:r>
        <w:rPr>
          <w:b/>
        </w:rPr>
        <w:t xml:space="preserve"> 2025 </w:t>
      </w:r>
      <w:r>
        <w:rPr>
          <w:rFonts w:eastAsia="Calibri"/>
          <w:b/>
          <w:lang w:eastAsia="en-US"/>
        </w:rPr>
        <w:t>/</w:t>
      </w:r>
      <w:r>
        <w:t xml:space="preserve"> </w:t>
      </w:r>
      <w:r>
        <w:rPr>
          <w:lang w:val="en-US"/>
        </w:rPr>
        <w:t>I</w:t>
      </w:r>
      <w:r>
        <w:rPr>
          <w:b/>
          <w:color w:val="000000"/>
          <w:kern w:val="36"/>
          <w:lang w:val="en-US"/>
        </w:rPr>
        <w:t>I</w:t>
      </w:r>
      <w:r>
        <w:rPr>
          <w:b/>
          <w:color w:val="000000"/>
          <w:kern w:val="36"/>
        </w:rPr>
        <w:t xml:space="preserve"> кв.</w:t>
      </w:r>
      <w:r>
        <w:rPr>
          <w:b/>
        </w:rPr>
        <w:t xml:space="preserve"> 2024 года</w:t>
      </w:r>
    </w:p>
    <w:tbl>
      <w:tblPr>
        <w:tblW w:w="515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635"/>
        <w:gridCol w:w="1870"/>
        <w:gridCol w:w="1983"/>
        <w:gridCol w:w="1729"/>
        <w:gridCol w:w="1644"/>
      </w:tblGrid>
      <w:tr>
        <w:trPr>
          <w:trHeight w:val="593"/>
        </w:trPr>
        <w:tc>
          <w:tcPr>
            <w:tcW w:w="594" w:type="dxa"/>
            <w:vMerge w:val="restart"/>
            <w:shd w:val="clear" w:color="auto" w:fill="auto"/>
            <w:vAlign w:val="center"/>
          </w:tcPr>
          <w:p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35" w:type="dxa"/>
            <w:vMerge w:val="restart"/>
            <w:shd w:val="clear" w:color="auto" w:fill="auto"/>
            <w:vAlign w:val="center"/>
          </w:tcPr>
          <w:p>
            <w:r>
              <w:t>Тематика обращений</w:t>
            </w:r>
          </w:p>
        </w:tc>
        <w:tc>
          <w:tcPr>
            <w:tcW w:w="385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>
            <w:r>
              <w:t>Письменные обращения</w:t>
            </w: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>
            <w:r>
              <w:t>Устно</w:t>
            </w:r>
          </w:p>
          <w:p>
            <w:r>
              <w:t>(по телефону)</w:t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II </w:t>
            </w:r>
            <w:proofErr w:type="spellStart"/>
            <w:r>
              <w:t>кв</w:t>
            </w:r>
            <w:proofErr w:type="spellEnd"/>
            <w:r>
              <w:rPr>
                <w:lang w:val="en-US"/>
              </w:rPr>
              <w:t xml:space="preserve">. 2025/ I </w:t>
            </w:r>
            <w:proofErr w:type="spellStart"/>
            <w:r>
              <w:t>кв</w:t>
            </w:r>
            <w:proofErr w:type="spellEnd"/>
            <w:r>
              <w:rPr>
                <w:lang w:val="en-US"/>
              </w:rPr>
              <w:t xml:space="preserve">. 2025/ II </w:t>
            </w:r>
            <w:proofErr w:type="spellStart"/>
            <w:r>
              <w:t>кв</w:t>
            </w:r>
            <w:proofErr w:type="spellEnd"/>
            <w:r>
              <w:rPr>
                <w:lang w:val="en-US"/>
              </w:rPr>
              <w:t>. 2024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>
            <w:r>
              <w:t>Лично</w:t>
            </w:r>
          </w:p>
          <w:p>
            <w:r>
              <w:t>(на личных приемах)</w:t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II </w:t>
            </w:r>
            <w:proofErr w:type="spellStart"/>
            <w:r>
              <w:t>кв</w:t>
            </w:r>
            <w:proofErr w:type="spellEnd"/>
            <w:r>
              <w:rPr>
                <w:lang w:val="en-US"/>
              </w:rPr>
              <w:t xml:space="preserve">. 2025/ I </w:t>
            </w:r>
            <w:proofErr w:type="spellStart"/>
            <w:r>
              <w:t>кв</w:t>
            </w:r>
            <w:proofErr w:type="spellEnd"/>
            <w:r>
              <w:rPr>
                <w:lang w:val="en-US"/>
              </w:rPr>
              <w:t xml:space="preserve">. 2025/ II </w:t>
            </w:r>
            <w:proofErr w:type="spellStart"/>
            <w:r>
              <w:t>кв</w:t>
            </w:r>
            <w:proofErr w:type="spellEnd"/>
            <w:r>
              <w:rPr>
                <w:lang w:val="en-US"/>
              </w:rPr>
              <w:t>. 2024</w:t>
            </w:r>
          </w:p>
        </w:tc>
      </w:tr>
      <w:tr>
        <w:trPr>
          <w:trHeight w:val="844"/>
        </w:trPr>
        <w:tc>
          <w:tcPr>
            <w:tcW w:w="594" w:type="dxa"/>
            <w:vMerge/>
            <w:shd w:val="clear" w:color="auto" w:fill="auto"/>
            <w:vAlign w:val="center"/>
          </w:tcPr>
          <w:p>
            <w:pPr>
              <w:rPr>
                <w:lang w:val="en-US"/>
              </w:rPr>
            </w:pPr>
          </w:p>
        </w:tc>
        <w:tc>
          <w:tcPr>
            <w:tcW w:w="2635" w:type="dxa"/>
            <w:vMerge/>
            <w:shd w:val="clear" w:color="auto" w:fill="auto"/>
            <w:vAlign w:val="center"/>
          </w:tcPr>
          <w:p>
            <w:pPr>
              <w:rPr>
                <w:lang w:val="en-US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>
            <w:r>
              <w:t>Письменные обращения</w:t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II </w:t>
            </w:r>
            <w:proofErr w:type="spellStart"/>
            <w:r>
              <w:rPr>
                <w:lang w:val="en-US"/>
              </w:rPr>
              <w:t>кв</w:t>
            </w:r>
            <w:proofErr w:type="spellEnd"/>
            <w:r>
              <w:rPr>
                <w:lang w:val="en-US"/>
              </w:rPr>
              <w:t xml:space="preserve">. 2025/ I </w:t>
            </w:r>
            <w:proofErr w:type="spellStart"/>
            <w:r>
              <w:t>кв</w:t>
            </w:r>
            <w:proofErr w:type="spellEnd"/>
            <w:r>
              <w:rPr>
                <w:lang w:val="en-US"/>
              </w:rPr>
              <w:t xml:space="preserve">. 2025/ II </w:t>
            </w:r>
            <w:proofErr w:type="spellStart"/>
            <w:r>
              <w:t>кв</w:t>
            </w:r>
            <w:proofErr w:type="spellEnd"/>
            <w:r>
              <w:rPr>
                <w:lang w:val="en-US"/>
              </w:rPr>
              <w:t>. 2024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r>
              <w:t>В форме электронного документа</w:t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II </w:t>
            </w:r>
            <w:proofErr w:type="spellStart"/>
            <w:r>
              <w:t>кв</w:t>
            </w:r>
            <w:proofErr w:type="spellEnd"/>
            <w:r>
              <w:rPr>
                <w:lang w:val="en-US"/>
              </w:rPr>
              <w:t xml:space="preserve">. 2025/ I </w:t>
            </w:r>
            <w:proofErr w:type="spellStart"/>
            <w:r>
              <w:t>кв</w:t>
            </w:r>
            <w:proofErr w:type="spellEnd"/>
            <w:r>
              <w:rPr>
                <w:lang w:val="en-US"/>
              </w:rPr>
              <w:t xml:space="preserve">. 2025/ II </w:t>
            </w:r>
            <w:proofErr w:type="spellStart"/>
            <w:r>
              <w:t>кв</w:t>
            </w:r>
            <w:proofErr w:type="spellEnd"/>
            <w:r>
              <w:rPr>
                <w:lang w:val="en-US"/>
              </w:rPr>
              <w:t>. 2024</w:t>
            </w:r>
          </w:p>
        </w:tc>
        <w:tc>
          <w:tcPr>
            <w:tcW w:w="1729" w:type="dxa"/>
            <w:vMerge/>
            <w:shd w:val="clear" w:color="auto" w:fill="auto"/>
            <w:vAlign w:val="center"/>
          </w:tcPr>
          <w:p>
            <w:pPr>
              <w:rPr>
                <w:lang w:val="en-US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>
            <w:pPr>
              <w:rPr>
                <w:lang w:val="en-US"/>
              </w:rPr>
            </w:pPr>
          </w:p>
        </w:tc>
      </w:tr>
      <w:tr>
        <w:tc>
          <w:tcPr>
            <w:tcW w:w="594" w:type="dxa"/>
            <w:shd w:val="clear" w:color="auto" w:fill="auto"/>
            <w:vAlign w:val="center"/>
          </w:tcPr>
          <w:p>
            <w:r>
              <w:t>1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r>
              <w:t>Устранение строительных недоделок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r>
              <w:t>2/0/11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r>
              <w:t>4/2/6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r>
              <w:t>0/</w:t>
            </w:r>
            <w:r>
              <w:rPr>
                <w:lang w:val="en-US"/>
              </w:rPr>
              <w:t>0</w:t>
            </w:r>
            <w:r>
              <w:t>/0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r>
              <w:t>0/0/1</w:t>
            </w:r>
          </w:p>
        </w:tc>
      </w:tr>
      <w:tr>
        <w:tc>
          <w:tcPr>
            <w:tcW w:w="594" w:type="dxa"/>
            <w:shd w:val="clear" w:color="auto" w:fill="auto"/>
            <w:vAlign w:val="center"/>
          </w:tcPr>
          <w:p>
            <w:r>
              <w:t>2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r>
              <w:t>Прохождение разрешительных процедур на капитальное строительство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r>
              <w:t>1/0/11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r>
              <w:t>1/5/3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r>
              <w:t>0/0/0</w:t>
            </w:r>
          </w:p>
        </w:tc>
      </w:tr>
      <w:tr>
        <w:tc>
          <w:tcPr>
            <w:tcW w:w="594" w:type="dxa"/>
            <w:shd w:val="clear" w:color="auto" w:fill="auto"/>
            <w:vAlign w:val="center"/>
          </w:tcPr>
          <w:p>
            <w:r>
              <w:t>3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r>
              <w:t>Деятельность в сфере строительства. Сооружение зданий, объектов капитального строительства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r>
              <w:t>0/3</w:t>
            </w:r>
            <w:r>
              <w:rPr>
                <w:lang w:val="en-US"/>
              </w:rPr>
              <w:t>/</w:t>
            </w:r>
            <w:r>
              <w:t>5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r>
              <w:t>1/0/3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r>
              <w:t>0/</w:t>
            </w:r>
            <w:r>
              <w:rPr>
                <w:lang w:val="en-US"/>
              </w:rPr>
              <w:t>0</w:t>
            </w:r>
            <w:r>
              <w:t>/0</w:t>
            </w:r>
          </w:p>
        </w:tc>
      </w:tr>
      <w:tr>
        <w:tc>
          <w:tcPr>
            <w:tcW w:w="594" w:type="dxa"/>
            <w:shd w:val="clear" w:color="auto" w:fill="auto"/>
            <w:vAlign w:val="center"/>
          </w:tcPr>
          <w:p>
            <w:r>
              <w:t>4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r>
              <w:t xml:space="preserve">Выполнение государственных требований при осуществлении строительной деятельности, соблюдение </w:t>
            </w:r>
            <w:proofErr w:type="spellStart"/>
            <w:r>
              <w:t>СНИПов</w:t>
            </w:r>
            <w:proofErr w:type="spellEnd"/>
          </w:p>
        </w:tc>
        <w:tc>
          <w:tcPr>
            <w:tcW w:w="1870" w:type="dxa"/>
            <w:shd w:val="clear" w:color="auto" w:fill="auto"/>
            <w:vAlign w:val="center"/>
          </w:tcPr>
          <w:p>
            <w:r>
              <w:t>11/54/124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r>
              <w:t>108/53/58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0/1/1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r>
              <w:t>1/0/8</w:t>
            </w:r>
          </w:p>
        </w:tc>
      </w:tr>
      <w:tr>
        <w:tc>
          <w:tcPr>
            <w:tcW w:w="594" w:type="dxa"/>
            <w:shd w:val="clear" w:color="auto" w:fill="auto"/>
            <w:vAlign w:val="center"/>
          </w:tcPr>
          <w:p>
            <w:r>
              <w:t>5</w:t>
            </w:r>
          </w:p>
        </w:tc>
        <w:tc>
          <w:tcPr>
            <w:tcW w:w="2635" w:type="dxa"/>
            <w:shd w:val="clear" w:color="auto" w:fill="auto"/>
            <w:vAlign w:val="center"/>
          </w:tcPr>
          <w:p>
            <w:r>
              <w:t>Нормативное правовое регулирование строительной деятельности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r>
              <w:t>3/5/3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r>
              <w:t>11/9/5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r>
              <w:t>0/0/4</w:t>
            </w:r>
          </w:p>
        </w:tc>
      </w:tr>
      <w:t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6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Жилищно-коммунальная сфера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0/0/2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16/4/15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-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-</w:t>
            </w:r>
          </w:p>
        </w:tc>
      </w:tr>
      <w:t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7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Градостроительство и архитектура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0/0/1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8/1/10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-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-</w:t>
            </w:r>
          </w:p>
        </w:tc>
      </w:tr>
      <w:t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8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Социальная сфера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0/0/0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r>
              <w:t>2/1/0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/>
        </w:tc>
      </w:tr>
      <w:tr>
        <w:tc>
          <w:tcPr>
            <w:tcW w:w="322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17/62/158</w:t>
            </w:r>
          </w:p>
        </w:tc>
        <w:tc>
          <w:tcPr>
            <w:tcW w:w="19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151/75/100</w:t>
            </w:r>
          </w:p>
        </w:tc>
        <w:tc>
          <w:tcPr>
            <w:tcW w:w="17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0/1/2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1/5/14</w:t>
            </w:r>
          </w:p>
        </w:tc>
      </w:tr>
    </w:tbl>
    <w:p/>
    <w:p>
      <w:pPr>
        <w:jc w:val="center"/>
        <w:rPr>
          <w:b/>
        </w:rPr>
      </w:pPr>
      <w:r>
        <w:rPr>
          <w:b/>
        </w:rPr>
        <w:t>Результативность рассмотрения обращений</w:t>
      </w:r>
    </w:p>
    <w:p>
      <w:pPr>
        <w:jc w:val="center"/>
        <w:rPr>
          <w:b/>
        </w:rPr>
      </w:pPr>
    </w:p>
    <w:p>
      <w:pPr>
        <w:autoSpaceDE/>
        <w:autoSpaceDN/>
        <w:jc w:val="both"/>
        <w:rPr>
          <w:color w:val="000000"/>
        </w:rPr>
      </w:pPr>
      <w:r>
        <w:rPr>
          <w:color w:val="000000"/>
        </w:rPr>
        <w:t>По результатам рассмотрения</w:t>
      </w:r>
      <w:r>
        <w:rPr>
          <w:bCs/>
          <w:color w:val="000000"/>
        </w:rPr>
        <w:t xml:space="preserve"> вопросов, содержащихся в </w:t>
      </w:r>
      <w:r>
        <w:rPr>
          <w:color w:val="000000"/>
        </w:rPr>
        <w:t>обращениях:</w:t>
      </w:r>
    </w:p>
    <w:p>
      <w:pPr>
        <w:autoSpaceDE/>
        <w:autoSpaceDN/>
        <w:jc w:val="both"/>
        <w:rPr>
          <w:color w:val="000000"/>
        </w:rPr>
      </w:pPr>
      <w:r>
        <w:rPr>
          <w:color w:val="000000"/>
        </w:rPr>
        <w:t xml:space="preserve">поддержано -  0 </w:t>
      </w:r>
      <w:r>
        <w:t>(</w:t>
      </w:r>
      <w:r>
        <w:rPr>
          <w:lang w:val="en-US"/>
        </w:rPr>
        <w:t>I</w:t>
      </w:r>
      <w:r>
        <w:rPr>
          <w:color w:val="000000"/>
          <w:kern w:val="36"/>
        </w:rPr>
        <w:t xml:space="preserve"> кв. 2025– 0, </w:t>
      </w:r>
      <w:r>
        <w:rPr>
          <w:lang w:val="en-US"/>
        </w:rPr>
        <w:t>II</w:t>
      </w:r>
      <w:r>
        <w:rPr>
          <w:color w:val="000000"/>
          <w:kern w:val="36"/>
        </w:rPr>
        <w:t xml:space="preserve"> кв. 2024 - 0</w:t>
      </w:r>
      <w:r>
        <w:t>),</w:t>
      </w:r>
    </w:p>
    <w:p>
      <w:pPr>
        <w:autoSpaceDE/>
        <w:autoSpaceDN/>
        <w:jc w:val="both"/>
      </w:pPr>
      <w:r>
        <w:rPr>
          <w:color w:val="000000"/>
        </w:rPr>
        <w:t xml:space="preserve">разъяснено - 121 </w:t>
      </w:r>
      <w:r>
        <w:t>(</w:t>
      </w:r>
      <w:r>
        <w:rPr>
          <w:color w:val="000000"/>
          <w:kern w:val="36"/>
          <w:lang w:val="en-US"/>
        </w:rPr>
        <w:t>I</w:t>
      </w:r>
      <w:r>
        <w:rPr>
          <w:color w:val="000000"/>
          <w:kern w:val="36"/>
        </w:rPr>
        <w:t xml:space="preserve"> кв. 2025</w:t>
      </w:r>
      <w:r>
        <w:rPr>
          <w:color w:val="000000"/>
          <w:kern w:val="36"/>
        </w:rPr>
        <w:t xml:space="preserve">– 111, </w:t>
      </w:r>
      <w:r>
        <w:rPr>
          <w:color w:val="000000"/>
          <w:kern w:val="36"/>
          <w:lang w:val="en-US"/>
        </w:rPr>
        <w:t>I</w:t>
      </w:r>
      <w:r>
        <w:rPr>
          <w:lang w:val="en-US"/>
        </w:rPr>
        <w:t>I</w:t>
      </w:r>
      <w:r>
        <w:rPr>
          <w:color w:val="000000"/>
          <w:kern w:val="36"/>
        </w:rPr>
        <w:t xml:space="preserve"> кв. 2024 - 222</w:t>
      </w:r>
      <w:r>
        <w:t>),</w:t>
      </w:r>
    </w:p>
    <w:p>
      <w:pPr>
        <w:autoSpaceDE/>
        <w:autoSpaceDN/>
        <w:jc w:val="both"/>
        <w:rPr>
          <w:color w:val="000000"/>
        </w:rPr>
      </w:pPr>
      <w:r>
        <w:t>направлено по компетенции – 48 (</w:t>
      </w:r>
      <w:r>
        <w:rPr>
          <w:color w:val="000000"/>
          <w:kern w:val="36"/>
          <w:lang w:val="en-US"/>
        </w:rPr>
        <w:t>I</w:t>
      </w:r>
      <w:r>
        <w:rPr>
          <w:color w:val="000000"/>
          <w:kern w:val="36"/>
        </w:rPr>
        <w:t xml:space="preserve"> кв. 2025</w:t>
      </w:r>
      <w:r>
        <w:rPr>
          <w:color w:val="000000"/>
          <w:kern w:val="36"/>
        </w:rPr>
        <w:t xml:space="preserve">– 27, </w:t>
      </w:r>
      <w:r>
        <w:rPr>
          <w:lang w:val="en-US"/>
        </w:rPr>
        <w:t>II</w:t>
      </w:r>
      <w:r>
        <w:rPr>
          <w:color w:val="000000"/>
          <w:kern w:val="36"/>
        </w:rPr>
        <w:t xml:space="preserve"> кв. 2024 - 52</w:t>
      </w:r>
      <w:r>
        <w:t>),</w:t>
      </w:r>
    </w:p>
    <w:p>
      <w:pPr>
        <w:autoSpaceDE/>
        <w:autoSpaceDN/>
        <w:jc w:val="both"/>
        <w:rPr>
          <w:color w:val="000000"/>
        </w:rPr>
      </w:pPr>
      <w:r>
        <w:rPr>
          <w:color w:val="000000"/>
        </w:rPr>
        <w:t xml:space="preserve">оставлено без ответа – 0 </w:t>
      </w:r>
      <w:r>
        <w:t>(</w:t>
      </w:r>
      <w:r>
        <w:rPr>
          <w:color w:val="000000"/>
          <w:kern w:val="36"/>
          <w:lang w:val="en-US"/>
        </w:rPr>
        <w:t>I</w:t>
      </w:r>
      <w:r>
        <w:rPr>
          <w:color w:val="000000"/>
          <w:kern w:val="36"/>
        </w:rPr>
        <w:t xml:space="preserve"> кв. 2025</w:t>
      </w:r>
      <w:r>
        <w:rPr>
          <w:color w:val="000000"/>
          <w:kern w:val="36"/>
        </w:rPr>
        <w:t xml:space="preserve">– 0, </w:t>
      </w:r>
      <w:r>
        <w:rPr>
          <w:lang w:val="en-US"/>
        </w:rPr>
        <w:t>II</w:t>
      </w:r>
      <w:r>
        <w:rPr>
          <w:color w:val="000000"/>
          <w:kern w:val="36"/>
        </w:rPr>
        <w:t xml:space="preserve"> кв. 2024 </w:t>
      </w:r>
      <w:r>
        <w:t>– 0),</w:t>
      </w:r>
    </w:p>
    <w:p>
      <w:pPr>
        <w:autoSpaceDE/>
        <w:autoSpaceDN/>
        <w:jc w:val="both"/>
      </w:pPr>
    </w:p>
    <w:p>
      <w:pPr>
        <w:autoSpaceDE/>
        <w:autoSpaceDN/>
        <w:jc w:val="both"/>
        <w:rPr>
          <w:color w:val="000000"/>
        </w:rPr>
      </w:pPr>
    </w:p>
    <w:p>
      <w:pPr>
        <w:autoSpaceDE/>
        <w:autoSpaceDN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/>
    <w:p>
      <w:pPr>
        <w:jc w:val="center"/>
        <w:rPr>
          <w:b/>
        </w:rPr>
      </w:pP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соблюдением порядка рассмотрения обращений граждан</w:t>
      </w:r>
    </w:p>
    <w:p>
      <w:pPr>
        <w:jc w:val="both"/>
        <w:rPr>
          <w:b/>
        </w:rPr>
      </w:pPr>
    </w:p>
    <w:p>
      <w:pPr>
        <w:jc w:val="both"/>
      </w:pPr>
      <w:r>
        <w:t xml:space="preserve">        Во </w:t>
      </w:r>
      <w:r>
        <w:rPr>
          <w:lang w:val="en-US"/>
        </w:rPr>
        <w:t>II</w:t>
      </w:r>
      <w:r>
        <w:rPr>
          <w:color w:val="000000"/>
          <w:kern w:val="36"/>
        </w:rPr>
        <w:t xml:space="preserve"> квартале</w:t>
      </w:r>
      <w:r>
        <w:t xml:space="preserve"> 2025 года все обращения  рассмотрены без нарушения порядка рассмотрения обращений граждан. </w:t>
      </w:r>
    </w:p>
    <w:p>
      <w:pPr>
        <w:autoSpaceDE/>
        <w:autoSpaceDN/>
        <w:ind w:firstLine="709"/>
        <w:jc w:val="both"/>
      </w:pPr>
      <w:r>
        <w:t>Организация работы с обращениями граждан в инспекции позволяет обеспечивать объективное и всестороннее рассмотрение поставленных гражданами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/>
    <w:sectPr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E7C81"/>
    <w:multiLevelType w:val="hybridMultilevel"/>
    <w:tmpl w:val="21B8F55C"/>
    <w:lvl w:ilvl="0" w:tplc="F4DA0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pPr>
      <w:widowControl w:val="0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pPr>
      <w:widowControl w:val="0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130492646073964"/>
          <c:y val="2.0961465436382106E-2"/>
          <c:w val="0.86901787390164154"/>
          <c:h val="0.7970245904078204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 квартал 2025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Устные обращения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169</c:v>
                </c:pt>
                <c:pt idx="1">
                  <c:v>168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 квартал 2025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Устные обращения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138</c:v>
                </c:pt>
                <c:pt idx="1">
                  <c:v>137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  квартал 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Устные обращения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274</c:v>
                </c:pt>
                <c:pt idx="1">
                  <c:v>258</c:v>
                </c:pt>
                <c:pt idx="2">
                  <c:v>14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5002496"/>
        <c:axId val="105004032"/>
        <c:axId val="0"/>
      </c:bar3DChart>
      <c:catAx>
        <c:axId val="105002496"/>
        <c:scaling>
          <c:orientation val="minMax"/>
        </c:scaling>
        <c:delete val="0"/>
        <c:axPos val="b"/>
        <c:majorTickMark val="out"/>
        <c:minorTickMark val="none"/>
        <c:tickLblPos val="nextTo"/>
        <c:crossAx val="105004032"/>
        <c:crosses val="autoZero"/>
        <c:auto val="1"/>
        <c:lblAlgn val="ctr"/>
        <c:lblOffset val="100"/>
        <c:noMultiLvlLbl val="0"/>
      </c:catAx>
      <c:valAx>
        <c:axId val="105004032"/>
        <c:scaling>
          <c:orientation val="minMax"/>
          <c:max val="25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5002496"/>
        <c:crosses val="autoZero"/>
        <c:crossBetween val="between"/>
        <c:majorUnit val="50"/>
        <c:minorUnit val="50"/>
      </c:valAx>
      <c:spPr>
        <a:ln>
          <a:noFill/>
        </a:ln>
      </c:spPr>
    </c:plotArea>
    <c:legend>
      <c:legendPos val="b"/>
      <c:overlay val="1"/>
      <c:spPr>
        <a:noFill/>
        <a:effectLst>
          <a:innerShdw blurRad="63500" dist="50800" dir="13500000">
            <a:schemeClr val="accent1">
              <a:lumMod val="20000"/>
              <a:lumOff val="80000"/>
              <a:alpha val="50000"/>
            </a:schemeClr>
          </a:innerShdw>
        </a:effectLst>
      </c:sp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  квартал 2025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Заявления</c:v>
                </c:pt>
                <c:pt idx="1">
                  <c:v>Жалобы</c:v>
                </c:pt>
                <c:pt idx="2">
                  <c:v>Запросы</c:v>
                </c:pt>
                <c:pt idx="3">
                  <c:v>Предложения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166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 квартал 2025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Заявления</c:v>
                </c:pt>
                <c:pt idx="1">
                  <c:v>Жалобы</c:v>
                </c:pt>
                <c:pt idx="2">
                  <c:v>Запросы</c:v>
                </c:pt>
                <c:pt idx="3">
                  <c:v>Предложения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136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  квартал 2024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Заявления</c:v>
                </c:pt>
                <c:pt idx="1">
                  <c:v>Жалобы</c:v>
                </c:pt>
                <c:pt idx="2">
                  <c:v>Запросы</c:v>
                </c:pt>
                <c:pt idx="3">
                  <c:v>Предложения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251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4796032"/>
        <c:axId val="155980160"/>
        <c:axId val="0"/>
      </c:bar3DChart>
      <c:catAx>
        <c:axId val="154796032"/>
        <c:scaling>
          <c:orientation val="minMax"/>
        </c:scaling>
        <c:delete val="0"/>
        <c:axPos val="b"/>
        <c:majorTickMark val="none"/>
        <c:minorTickMark val="none"/>
        <c:tickLblPos val="nextTo"/>
        <c:crossAx val="155980160"/>
        <c:crosses val="autoZero"/>
        <c:auto val="1"/>
        <c:lblAlgn val="ctr"/>
        <c:lblOffset val="100"/>
        <c:noMultiLvlLbl val="0"/>
      </c:catAx>
      <c:valAx>
        <c:axId val="1559801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547960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  кв. 2025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разъяснено</c:v>
                </c:pt>
                <c:pt idx="1">
                  <c:v>направлено по компетенции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121</c:v>
                </c:pt>
                <c:pt idx="1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 кв. 2025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разъяснено</c:v>
                </c:pt>
                <c:pt idx="1">
                  <c:v>направлено по компетенции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111</c:v>
                </c:pt>
                <c:pt idx="1">
                  <c:v>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  кв. 2024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разъяснено</c:v>
                </c:pt>
                <c:pt idx="1">
                  <c:v>направлено по компетенции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222</c:v>
                </c:pt>
                <c:pt idx="1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7791104"/>
        <c:axId val="228975744"/>
        <c:axId val="0"/>
      </c:bar3DChart>
      <c:catAx>
        <c:axId val="197791104"/>
        <c:scaling>
          <c:orientation val="minMax"/>
        </c:scaling>
        <c:delete val="0"/>
        <c:axPos val="b"/>
        <c:majorTickMark val="out"/>
        <c:minorTickMark val="none"/>
        <c:tickLblPos val="nextTo"/>
        <c:crossAx val="228975744"/>
        <c:crosses val="autoZero"/>
        <c:auto val="1"/>
        <c:lblAlgn val="ctr"/>
        <c:lblOffset val="100"/>
        <c:noMultiLvlLbl val="0"/>
      </c:catAx>
      <c:valAx>
        <c:axId val="228975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7791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7FA4-D7D1-46AD-A22B-37BD8926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Татьяна Александровна</dc:creator>
  <cp:lastModifiedBy>Чубарова Ольга Сергеевна</cp:lastModifiedBy>
  <cp:revision>2</cp:revision>
  <cp:lastPrinted>2022-05-12T08:06:00Z</cp:lastPrinted>
  <dcterms:created xsi:type="dcterms:W3CDTF">2025-10-31T07:02:00Z</dcterms:created>
  <dcterms:modified xsi:type="dcterms:W3CDTF">2025-10-31T07:02:00Z</dcterms:modified>
</cp:coreProperties>
</file>