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4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780"/>
      </w:tblGrid>
      <w:tr>
        <w:trPr>
          <w:trHeight w:val="15457"/>
          <w:tblCellSpacing w:w="0" w:type="dxa"/>
        </w:trPr>
        <w:tc>
          <w:tcPr>
            <w:tcW w:w="9780" w:type="dxa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Итоговая информация о выполнении плана мероприятий по совершенствованию работы с обращениями</w:t>
            </w:r>
            <w:r>
              <w:rPr>
                <w:rFonts w:eastAsia="Calibri"/>
                <w:b/>
                <w:i/>
                <w:lang w:eastAsia="en-US"/>
              </w:rPr>
              <w:t xml:space="preserve"> граждан, объединений граждан, в том числе юридических лиц, поступивших в адрес      </w:t>
            </w:r>
            <w:r>
              <w:rPr>
                <w:b/>
                <w:i/>
              </w:rPr>
              <w:t xml:space="preserve"> инспекции государственного строительного надзора                                    Новосибирской области в 2022 году</w:t>
            </w:r>
            <w:r>
              <w:rPr>
                <w:b/>
                <w:i/>
                <w:color w:val="000000"/>
                <w:kern w:val="36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4"/>
            </w:tblGrid>
            <w:tr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Рассмотрение письменных и устных обращений и запросов граждан, объединений граждан, в том числе юридических лиц, поступивших в адрес </w:t>
            </w:r>
            <w:r>
              <w:t xml:space="preserve"> инспекции государственного строительного надзора  Новосибирской области (далее – инспекция)</w:t>
            </w:r>
            <w:r>
              <w:rPr>
                <w:rFonts w:eastAsia="Calibri"/>
                <w:lang w:eastAsia="en-US"/>
              </w:rPr>
      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 </w:t>
            </w:r>
            <w:r>
              <w:t>правовыми актами инспекции.</w:t>
            </w:r>
          </w:p>
          <w:p>
            <w:pPr>
              <w:autoSpaceDE/>
              <w:autoSpaceDN/>
              <w:jc w:val="both"/>
              <w:rPr>
                <w:rFonts w:ascii="Tahoma" w:hAnsi="Tahoma" w:cs="Tahoma"/>
              </w:rPr>
            </w:pPr>
            <w:r>
              <w:rPr>
                <w:rFonts w:eastAsia="Calibri"/>
                <w:lang w:eastAsia="en-US"/>
              </w:rPr>
              <w:t xml:space="preserve">         Организацию работы по объективному, всестороннему и своевременному рассмотрению обращений осуществляет </w:t>
            </w:r>
            <w:r>
              <w:t xml:space="preserve">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jc w:val="both"/>
            </w:pPr>
            <w:r>
              <w:rPr>
                <w:rFonts w:ascii="Tahoma" w:hAnsi="Tahoma" w:cs="Tahoma"/>
              </w:rPr>
              <w:t>  </w:t>
            </w: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>1. За 2022 год в инспекцию поступило 690 (2021 год – 904, 2020 год – 744) обращений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- письменных обращений – 660 (2021 год – 870, 2020 год – 727), из них в форме электронного документа – 215 (2021 год – 261, 2020 год – 206);</w:t>
            </w:r>
          </w:p>
          <w:p>
            <w:pPr>
              <w:autoSpaceDE/>
              <w:autoSpaceDN/>
              <w:ind w:firstLine="709"/>
              <w:jc w:val="both"/>
            </w:pPr>
            <w:r>
              <w:t>- устных обращений по телефону – 10 (2021 год – 21, 2020 год – 11);</w:t>
            </w:r>
          </w:p>
          <w:p>
            <w:pPr>
              <w:autoSpaceDE/>
              <w:autoSpaceDN/>
              <w:ind w:firstLine="709"/>
              <w:jc w:val="both"/>
            </w:pPr>
            <w:r>
              <w:t>- на личных приемах – 19 (2021 год – 10, 2020 год – 6)</w:t>
            </w:r>
          </w:p>
          <w:p>
            <w:pPr>
              <w:autoSpaceDE/>
              <w:autoSpaceDN/>
              <w:jc w:val="both"/>
            </w:pPr>
            <w:r>
              <w:t xml:space="preserve">         - смс-сообщение – 1 (2021 год – 3, 2020 год – 0).</w:t>
            </w:r>
          </w:p>
          <w:p>
            <w:pPr>
              <w:autoSpaceDE/>
              <w:autoSpaceDN/>
              <w:jc w:val="both"/>
            </w:pPr>
          </w:p>
          <w:p>
            <w:pPr>
              <w:autoSpaceDE/>
              <w:autoSpaceDN/>
              <w:jc w:val="both"/>
            </w:pPr>
          </w:p>
          <w:p>
            <w:pPr>
              <w:autoSpaceDE/>
              <w:autoSpaceDN/>
              <w:ind w:firstLine="601"/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5748793" cy="2973788"/>
                  <wp:effectExtent l="0" t="0" r="23495" b="1714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rPr>
                <w:rFonts w:eastAsia="Calibri"/>
              </w:rPr>
              <w:t xml:space="preserve"> </w:t>
            </w:r>
          </w:p>
          <w:p>
            <w:pPr>
              <w:autoSpaceDE/>
              <w:autoSpaceDN/>
              <w:jc w:val="both"/>
              <w:rPr>
                <w:rFonts w:eastAsia="Calibri"/>
              </w:rPr>
            </w:pPr>
          </w:p>
          <w:p>
            <w:pPr>
              <w:autoSpaceDE/>
              <w:autoSpaceDN/>
              <w:jc w:val="both"/>
            </w:pPr>
            <w:r>
              <w:rPr>
                <w:rFonts w:eastAsia="Calibri"/>
              </w:rPr>
              <w:t xml:space="preserve">Анализ количества обращений, поступивших в 2022 году в инспекцию, показывает, что по сравнению с 2021 годом количество обращений уменьшилось на 23% (на 214 обращений), по сравнению с 2020 годом количество обращений уменьшилось на 7%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на 146 обращений).</w:t>
            </w:r>
          </w:p>
          <w:p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>
            <w:pPr>
              <w:autoSpaceDE/>
              <w:autoSpaceDN/>
              <w:jc w:val="both"/>
              <w:rPr>
                <w:b/>
              </w:rPr>
            </w:pPr>
          </w:p>
          <w:p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 xml:space="preserve"> Рассмотрение письменных обращений.</w:t>
            </w:r>
          </w:p>
          <w:p>
            <w:pPr>
              <w:autoSpaceDE/>
              <w:autoSpaceDN/>
              <w:jc w:val="both"/>
              <w:rPr>
                <w:b/>
              </w:rPr>
            </w:pPr>
          </w:p>
          <w:p>
            <w:pPr>
              <w:pStyle w:val="a6"/>
              <w:ind w:firstLine="7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адрес инспекции поступило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письменных обращений </w:t>
            </w:r>
            <w:r>
              <w:rPr>
                <w:rFonts w:ascii="Times New Roman" w:hAnsi="Times New Roman"/>
                <w:sz w:val="28"/>
                <w:szCs w:val="28"/>
              </w:rPr>
              <w:t>(2021 год – 872, 2020 год – 727), из них в форме электронного документа – 215 (2021 год – 261, 2020 год – 206).</w:t>
            </w:r>
          </w:p>
          <w:p>
            <w:pPr>
              <w:pStyle w:val="a6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сравнению с 2021 годом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письменных обращений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уменьшилось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212 обращений, 2020 год  - уменьшилось на 67 обращений.</w:t>
            </w:r>
          </w:p>
          <w:p>
            <w:pPr>
              <w:pStyle w:val="a6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>
            <w:pPr>
              <w:pStyle w:val="a6"/>
              <w:keepNext/>
              <w:ind w:firstLine="601"/>
              <w:jc w:val="both"/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48793" cy="2075291"/>
                  <wp:effectExtent l="0" t="0" r="23495" b="2032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>
            <w:pPr>
              <w:autoSpaceDE/>
              <w:autoSpaceDN/>
              <w:jc w:val="both"/>
              <w:rPr>
                <w:b/>
              </w:rPr>
            </w:pPr>
          </w:p>
          <w:p>
            <w:pPr>
              <w:ind w:firstLine="567"/>
              <w:jc w:val="both"/>
              <w:rPr>
                <w:rFonts w:eastAsia="Calibri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bCs/>
              </w:rPr>
              <w:t>По видам</w:t>
            </w:r>
            <w:r>
              <w:t xml:space="preserve"> письменные обращения подразделяются </w:t>
            </w:r>
            <w:proofErr w:type="gramStart"/>
            <w:r>
              <w:t>на</w:t>
            </w:r>
            <w:proofErr w:type="gramEnd"/>
            <w:r>
              <w:t>:</w:t>
            </w:r>
          </w:p>
          <w:p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>
              <w:t xml:space="preserve">  - </w:t>
            </w:r>
            <w:r>
              <w:rPr>
                <w:bCs/>
              </w:rPr>
              <w:t>заявления</w:t>
            </w:r>
            <w:r>
              <w:t xml:space="preserve"> - </w:t>
            </w:r>
            <w:r>
              <w:rPr>
                <w:color w:val="000000"/>
              </w:rPr>
              <w:t xml:space="preserve">637 </w:t>
            </w:r>
            <w:r>
              <w:t>(2021 год – 854, 2020 год – 680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t>- </w:t>
            </w:r>
            <w:r>
              <w:rPr>
                <w:bCs/>
              </w:rPr>
              <w:t>жалобы</w:t>
            </w:r>
            <w:r>
              <w:t xml:space="preserve"> - 25 (2021 год – 18, 2020 год -</w:t>
            </w:r>
            <w:r>
              <w:rPr>
                <w:color w:val="000000"/>
              </w:rPr>
              <w:t>38),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t>- </w:t>
            </w:r>
            <w:r>
              <w:rPr>
                <w:bCs/>
              </w:rPr>
              <w:t>запросы</w:t>
            </w:r>
            <w:r>
              <w:t xml:space="preserve"> </w:t>
            </w:r>
            <w:r>
              <w:rPr>
                <w:bCs/>
              </w:rPr>
              <w:t xml:space="preserve">- 0 (2021 год – 0, 2020 год – </w:t>
            </w:r>
            <w:r>
              <w:rPr>
                <w:color w:val="000000"/>
              </w:rPr>
              <w:t>0),</w:t>
            </w:r>
          </w:p>
          <w:p>
            <w:pPr>
              <w:autoSpaceDE/>
              <w:autoSpaceDN/>
              <w:ind w:firstLine="567"/>
              <w:jc w:val="both"/>
              <w:rPr>
                <w:bCs/>
                <w:i/>
              </w:rPr>
            </w:pPr>
            <w:r>
              <w:t xml:space="preserve">  - </w:t>
            </w:r>
            <w:r>
              <w:rPr>
                <w:bCs/>
              </w:rPr>
              <w:t>предложения</w:t>
            </w:r>
            <w:r>
              <w:t xml:space="preserve"> – 0 </w:t>
            </w:r>
            <w:r>
              <w:rPr>
                <w:bCs/>
              </w:rPr>
              <w:t xml:space="preserve">(2021 год – 0, 2020 год – </w:t>
            </w:r>
            <w:r>
              <w:rPr>
                <w:color w:val="000000"/>
              </w:rPr>
              <w:t>0),</w:t>
            </w:r>
          </w:p>
          <w:p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>
              <w:t xml:space="preserve">  - не обращения - 0 </w:t>
            </w:r>
            <w:r>
              <w:rPr>
                <w:bCs/>
              </w:rPr>
              <w:t xml:space="preserve">(2021 год – 0, 2020 год – </w:t>
            </w:r>
            <w:r>
              <w:rPr>
                <w:color w:val="000000"/>
              </w:rPr>
              <w:t>0).</w:t>
            </w:r>
          </w:p>
          <w:p>
            <w:pPr>
              <w:autoSpaceDE/>
              <w:autoSpaceDN/>
              <w:ind w:firstLine="567"/>
              <w:jc w:val="both"/>
              <w:rPr>
                <w:color w:val="000000"/>
              </w:rPr>
            </w:pPr>
          </w:p>
          <w:p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828306" cy="3108960"/>
                  <wp:effectExtent l="0" t="0" r="20320" b="1524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>
            <w:pPr>
              <w:autoSpaceDE/>
              <w:autoSpaceDN/>
              <w:jc w:val="both"/>
              <w:rPr>
                <w:color w:val="000000"/>
              </w:rPr>
            </w:pPr>
          </w:p>
          <w:p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Вопросы в письменных обращениях относятся к тематическим разделам: </w:t>
            </w:r>
          </w:p>
          <w:p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i/>
              </w:rPr>
              <w:t>-</w:t>
            </w:r>
            <w:r>
              <w:rPr>
                <w:rFonts w:eastAsia="Calibri"/>
                <w:bCs/>
                <w:lang w:eastAsia="en-US"/>
              </w:rPr>
              <w:t xml:space="preserve"> «Экономика» - 651 обращение;</w:t>
            </w:r>
          </w:p>
          <w:p>
            <w:pPr>
              <w:autoSpaceDE/>
              <w:autoSpaceDN/>
              <w:ind w:firstLine="709"/>
              <w:jc w:val="both"/>
              <w:rPr>
                <w:i/>
              </w:rPr>
            </w:pPr>
            <w:r>
              <w:rPr>
                <w:rFonts w:eastAsia="Calibri"/>
                <w:bCs/>
                <w:lang w:eastAsia="en-US"/>
              </w:rPr>
              <w:t>- «Социальная сфера» - 1 обращение;</w:t>
            </w:r>
          </w:p>
          <w:p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 «Жилищно-коммунальная сфера» - 5 обращений;</w:t>
            </w:r>
          </w:p>
          <w:p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 «Государство, общество, политика» - 3 обращения.</w:t>
            </w:r>
          </w:p>
          <w:p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ind w:firstLine="601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764695" cy="2735248"/>
                  <wp:effectExtent l="0" t="0" r="26670" b="2730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>
            <w:pPr>
              <w:pStyle w:val="a7"/>
              <w:numPr>
                <w:ilvl w:val="0"/>
                <w:numId w:val="2"/>
              </w:numPr>
              <w:autoSpaceDE/>
              <w:autoSpaceDN/>
              <w:jc w:val="both"/>
            </w:pPr>
            <w:r>
              <w:t>«Экономика» - 651 обращение (2021 год – 823 обращения) уменьшение на 20% (на 172 обращения)</w:t>
            </w:r>
          </w:p>
          <w:p>
            <w:pPr>
              <w:pStyle w:val="a7"/>
              <w:numPr>
                <w:ilvl w:val="0"/>
                <w:numId w:val="2"/>
              </w:numPr>
              <w:autoSpaceDE/>
              <w:autoSpaceDN/>
              <w:jc w:val="both"/>
            </w:pPr>
            <w:r>
              <w:t>«Социальная сфера» - 1 обращение (2020 год – 2 обращения), уменьшение на 50% (на 1 обращение)</w:t>
            </w:r>
          </w:p>
          <w:p>
            <w:pPr>
              <w:pStyle w:val="a7"/>
              <w:numPr>
                <w:ilvl w:val="0"/>
                <w:numId w:val="2"/>
              </w:numPr>
              <w:autoSpaceDE/>
              <w:autoSpaceDN/>
              <w:jc w:val="both"/>
            </w:pPr>
            <w:r>
              <w:t>«Жилищно-коммунальная сфера» - 5 обращений (2020 год – 27 обращений), уменьшение на 81 % (на 22 обращения)</w:t>
            </w:r>
          </w:p>
          <w:p>
            <w:pPr>
              <w:pStyle w:val="a7"/>
              <w:numPr>
                <w:ilvl w:val="0"/>
                <w:numId w:val="2"/>
              </w:numPr>
              <w:autoSpaceDE/>
              <w:autoSpaceDN/>
              <w:jc w:val="both"/>
            </w:pPr>
            <w:r>
              <w:t xml:space="preserve">«Государство, общество, политика» - 3 обращения (2020 год – 20 обращений), уменьшение на 85% (на 17 обращений) </w:t>
            </w:r>
          </w:p>
          <w:p>
            <w:pPr>
              <w:autoSpaceDE/>
              <w:autoSpaceDN/>
              <w:ind w:left="708"/>
              <w:jc w:val="both"/>
            </w:pPr>
          </w:p>
          <w:p>
            <w:pPr>
              <w:autoSpaceDE/>
              <w:autoSpaceDN/>
              <w:ind w:firstLine="708"/>
              <w:jc w:val="both"/>
            </w:pPr>
            <w:r>
              <w:t>Вопросы, содержащиеся в обращениях, были направлены на рассмотрение по компетенции:</w:t>
            </w:r>
          </w:p>
          <w:p>
            <w:pPr>
              <w:autoSpaceDE/>
              <w:autoSpaceDN/>
              <w:ind w:firstLine="709"/>
              <w:jc w:val="both"/>
            </w:pPr>
            <w:r>
              <w:t>- руководителям исполнительных органов государственной власти – 22 вопроса;</w:t>
            </w:r>
          </w:p>
          <w:p>
            <w:pPr>
              <w:autoSpaceDE/>
              <w:autoSpaceDN/>
              <w:ind w:firstLine="709"/>
              <w:jc w:val="both"/>
              <w:rPr>
                <w:i/>
              </w:rPr>
            </w:pPr>
            <w:r>
              <w:t>- направлены в органы местного самоуправления - 81 вопрос;</w:t>
            </w:r>
          </w:p>
          <w:p>
            <w:pPr>
              <w:autoSpaceDE/>
              <w:autoSpaceDN/>
              <w:ind w:firstLine="709"/>
              <w:jc w:val="both"/>
            </w:pPr>
            <w:r>
              <w:t>- направлены в территориальные федеральные органы исполнительной власти и иные государственные органы, организации и учреждения – 16 вопросов.</w:t>
            </w:r>
          </w:p>
          <w:p>
            <w:pPr>
              <w:jc w:val="both"/>
              <w:rPr>
                <w:rFonts w:eastAsia="Calibri"/>
                <w:lang w:eastAsia="en-US"/>
              </w:rPr>
            </w:pPr>
          </w:p>
          <w:p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Результативность рассмотрения</w:t>
            </w:r>
            <w:r>
              <w:rPr>
                <w:rFonts w:eastAsia="Calibri"/>
                <w:bCs/>
                <w:lang w:eastAsia="en-US"/>
              </w:rPr>
              <w:t xml:space="preserve"> вопросов, содержащихся в </w:t>
            </w:r>
            <w:r>
              <w:rPr>
                <w:rFonts w:eastAsia="Calibri"/>
                <w:lang w:eastAsia="en-US"/>
              </w:rPr>
              <w:t>письменных обращениях:</w:t>
            </w:r>
            <w:r>
              <w:rPr>
                <w:color w:val="000000"/>
              </w:rPr>
              <w:t xml:space="preserve">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- поддержано – 0 </w:t>
            </w:r>
            <w:r>
              <w:t>(2021 год – 0,2020 год – 0</w:t>
            </w:r>
            <w:r>
              <w:rPr>
                <w:color w:val="000000"/>
              </w:rPr>
              <w:t>),</w:t>
            </w:r>
          </w:p>
          <w:p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разъяснено – 537 </w:t>
            </w:r>
            <w:r>
              <w:t>(2021 год – 778, 2020 год – 727</w:t>
            </w:r>
            <w:r>
              <w:rPr>
                <w:color w:val="000000"/>
              </w:rPr>
              <w:t>).</w:t>
            </w:r>
          </w:p>
          <w:p>
            <w:pPr>
              <w:jc w:val="both"/>
              <w:rPr>
                <w:color w:val="000000"/>
              </w:rPr>
            </w:pPr>
          </w:p>
          <w:p>
            <w:pPr>
              <w:jc w:val="both"/>
              <w:rPr>
                <w:color w:val="000000"/>
              </w:rPr>
            </w:pPr>
          </w:p>
          <w:p>
            <w:pPr>
              <w:pStyle w:val="a7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прием граждан в инспекции организуется в соответствии с Федеральным </w:t>
            </w:r>
            <w:hyperlink r:id="rId1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02.05.2006 № 59-ФЗ, </w:t>
            </w:r>
            <w:hyperlink r:id="rId1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 от 25.12.2006 № 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и приказом инспекции от 17.09.2019 № 8 «Об утверждении инструкции о порядке организации работы с обращениями граждан».</w:t>
            </w:r>
          </w:p>
          <w:p>
            <w:pPr>
              <w:autoSpaceDE/>
              <w:ind w:firstLine="709"/>
              <w:jc w:val="both"/>
            </w:pPr>
            <w:r>
              <w:t xml:space="preserve">В 2022 году на личном приеме принято </w:t>
            </w:r>
            <w:r>
              <w:rPr>
                <w:b/>
              </w:rPr>
              <w:t xml:space="preserve">19 </w:t>
            </w:r>
            <w:r>
              <w:t xml:space="preserve">человек (в 2021 году – 10 человек, 2020 году - 6 человек). </w:t>
            </w:r>
          </w:p>
          <w:p>
            <w:pPr>
              <w:autoSpaceDE/>
              <w:ind w:firstLine="709"/>
              <w:jc w:val="both"/>
            </w:pPr>
          </w:p>
          <w:p>
            <w:pPr>
              <w:autoSpaceDE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autoSpaceDE/>
              <w:ind w:firstLine="601"/>
              <w:jc w:val="both"/>
            </w:pPr>
            <w:r>
              <w:rPr>
                <w:noProof/>
              </w:rPr>
              <w:drawing>
                <wp:inline distT="0" distB="0" distL="0" distR="0">
                  <wp:extent cx="5732890" cy="2011680"/>
                  <wp:effectExtent l="0" t="0" r="20320" b="2667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>
            <w:pPr>
              <w:autoSpaceDE/>
              <w:ind w:firstLine="709"/>
              <w:jc w:val="both"/>
            </w:pPr>
            <w:r>
              <w:t xml:space="preserve">В постоянном режиме применяется система личного приема граждан, в том числе в режиме </w:t>
            </w:r>
            <w:proofErr w:type="gramStart"/>
            <w:r>
              <w:t>видео-связи</w:t>
            </w:r>
            <w:proofErr w:type="gramEnd"/>
            <w:r>
              <w:t>, аудио-связи и иных видов связи по вопросам, входящим в компетенцию инспекции. Вопросы обращений касались соблюдения градостроительного законодательства застройщиками и сроков ввода в эксплуатацию объектов капитального строительства на территории города Новосибирска.</w:t>
            </w:r>
          </w:p>
          <w:p>
            <w:pPr>
              <w:shd w:val="clear" w:color="auto" w:fill="FFFFFF"/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autoSpaceDE/>
              <w:ind w:firstLine="709"/>
              <w:jc w:val="both"/>
            </w:pPr>
          </w:p>
          <w:p>
            <w:pPr>
              <w:pStyle w:val="a7"/>
              <w:numPr>
                <w:ilvl w:val="0"/>
                <w:numId w:val="1"/>
              </w:numPr>
              <w:tabs>
                <w:tab w:val="left" w:pos="709"/>
              </w:tabs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Устные сообщения и запросы в справочную телефонную службу инспекции</w:t>
            </w:r>
          </w:p>
          <w:p>
            <w:pPr>
              <w:pStyle w:val="a7"/>
              <w:tabs>
                <w:tab w:val="left" w:pos="709"/>
              </w:tabs>
              <w:autoSpaceDE/>
              <w:autoSpaceDN/>
              <w:ind w:left="1069"/>
              <w:rPr>
                <w:b/>
                <w:bCs/>
              </w:rPr>
            </w:pPr>
          </w:p>
          <w:p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В справочную телефонную службу инспекции поступило 10 устных сообщений (2021 год – 21, 2020 год – 11), в том числе в форме смс-сообщений – 1 (2021 год – 3, 2020 год – 0). </w:t>
            </w:r>
          </w:p>
          <w:p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autoSpaceDE/>
              <w:autoSpaceDN/>
              <w:ind w:firstLine="60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noProof/>
              </w:rPr>
              <w:drawing>
                <wp:inline distT="0" distB="0" distL="0" distR="0">
                  <wp:extent cx="5661328" cy="2798859"/>
                  <wp:effectExtent l="0" t="0" r="15875" b="20955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>
            <w:pPr>
              <w:autoSpaceDE/>
              <w:jc w:val="both"/>
            </w:pPr>
          </w:p>
          <w:p>
            <w:pPr>
              <w:autoSpaceDE/>
              <w:jc w:val="center"/>
              <w:rPr>
                <w:b/>
              </w:rPr>
            </w:pPr>
            <w:r>
              <w:rPr>
                <w:b/>
              </w:rPr>
              <w:t>Контроль за соблюдением порядка рассмотрения обращений граждан</w:t>
            </w:r>
          </w:p>
          <w:p>
            <w:pPr>
              <w:jc w:val="both"/>
              <w:rPr>
                <w:rFonts w:eastAsia="Calibri"/>
                <w:lang w:eastAsia="en-US"/>
              </w:rPr>
            </w:pPr>
          </w:p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Организация работы в инспекции позволила в 2022 году обеспечить объективное, всестороннее и своевременное рассмотрение обращений граждан, своевременно принимать меры, направленные на восстановление или защиту нарушенных прав, свобод и законных интересов граждан.</w:t>
            </w:r>
          </w:p>
          <w:p>
            <w:pPr>
              <w:autoSpaceDE/>
              <w:autoSpaceDN/>
              <w:jc w:val="both"/>
            </w:pPr>
          </w:p>
        </w:tc>
      </w:tr>
    </w:tbl>
    <w:p/>
    <w:sectPr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87D13"/>
    <w:multiLevelType w:val="hybridMultilevel"/>
    <w:tmpl w:val="89FCFAA6"/>
    <w:lvl w:ilvl="0" w:tplc="B69898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consultantplus://offline/ref=F52AF9F01614C4D4659C3FE7AEFF4800CD60667A217DF41011D1D644DBD201C5AB0BF79B2125AD8A01D4DC43147DE2DAF942z0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2AF9F01614C4D4659C21EAB8931609C76A3C7F227DF84F4C81D01384820790F94BA9C27262E6870BC9C0431D46zA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Структура и количество обращений, поступивших в адрес</a:t>
            </a:r>
          </a:p>
          <a:p>
            <a:pPr>
              <a:defRPr sz="1100"/>
            </a:pPr>
            <a:r>
              <a:rPr lang="ru-RU" sz="1100"/>
              <a:t> инспекции государственного строительного надзора</a:t>
            </a:r>
          </a:p>
          <a:p>
            <a:pPr>
              <a:defRPr sz="1100"/>
            </a:pPr>
            <a:r>
              <a:rPr lang="ru-RU" sz="1100"/>
              <a:t> Новосибирской области</a:t>
            </a:r>
          </a:p>
        </c:rich>
      </c:tx>
      <c:layout>
        <c:manualLayout>
          <c:xMode val="edge"/>
          <c:yMode val="edge"/>
          <c:x val="0.14228018372703413"/>
          <c:y val="5.5989682967751811E-6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690</c:v>
                </c:pt>
                <c:pt idx="1">
                  <c:v>660</c:v>
                </c:pt>
                <c:pt idx="2">
                  <c:v>19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904</c:v>
                </c:pt>
                <c:pt idx="1">
                  <c:v>870</c:v>
                </c:pt>
                <c:pt idx="2">
                  <c:v>10</c:v>
                </c:pt>
                <c:pt idx="3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744</c:v>
                </c:pt>
                <c:pt idx="1">
                  <c:v>727</c:v>
                </c:pt>
                <c:pt idx="2">
                  <c:v>6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90257664"/>
        <c:axId val="90259456"/>
      </c:barChart>
      <c:catAx>
        <c:axId val="90257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90259456"/>
        <c:crosses val="autoZero"/>
        <c:auto val="1"/>
        <c:lblAlgn val="ctr"/>
        <c:lblOffset val="100"/>
        <c:noMultiLvlLbl val="0"/>
      </c:catAx>
      <c:valAx>
        <c:axId val="90259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902576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tx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0" baseline="0">
                <a:effectLst/>
              </a:rPr>
              <a:t>Количество письменных обращений поступивших в адрес</a:t>
            </a:r>
          </a:p>
          <a:p>
            <a:pPr>
              <a:defRPr/>
            </a:pPr>
            <a:r>
              <a:rPr lang="ru-RU" sz="1100" b="1" i="0" baseline="0">
                <a:effectLst/>
              </a:rPr>
              <a:t>инспекции государственного строительного надзора</a:t>
            </a:r>
          </a:p>
          <a:p>
            <a:pPr>
              <a:defRPr/>
            </a:pPr>
            <a:r>
              <a:rPr lang="ru-RU" sz="1100" b="1" i="0" baseline="0">
                <a:effectLst/>
              </a:rPr>
              <a:t>Новосибирской области</a:t>
            </a:r>
            <a:endParaRPr lang="ru-RU" sz="11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660</c:v>
                </c:pt>
                <c:pt idx="1">
                  <c:v>872</c:v>
                </c:pt>
                <c:pt idx="2">
                  <c:v>727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56938496"/>
        <c:axId val="56940032"/>
      </c:barChart>
      <c:catAx>
        <c:axId val="56938496"/>
        <c:scaling>
          <c:orientation val="minMax"/>
        </c:scaling>
        <c:delete val="0"/>
        <c:axPos val="b"/>
        <c:majorTickMark val="none"/>
        <c:minorTickMark val="none"/>
        <c:tickLblPos val="nextTo"/>
        <c:crossAx val="56940032"/>
        <c:crosses val="autoZero"/>
        <c:auto val="1"/>
        <c:lblAlgn val="ctr"/>
        <c:lblOffset val="100"/>
        <c:noMultiLvlLbl val="0"/>
      </c:catAx>
      <c:valAx>
        <c:axId val="56940032"/>
        <c:scaling>
          <c:orientation val="minMax"/>
          <c:max val="1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6938496"/>
        <c:crosses val="autoZero"/>
        <c:crossBetween val="between"/>
        <c:majorUnit val="500"/>
        <c:minorUnit val="0.1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Виды письменных обращений, поступивших в инспекцию государственного строительного надзора Новосибирской области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Лист3!$C$3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Лист3!$C$4:$C$8</c:f>
              <c:numCache>
                <c:formatCode>General</c:formatCode>
                <c:ptCount val="5"/>
                <c:pt idx="0">
                  <c:v>637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5B-4AF5-AA55-E56860D1C9B8}"/>
            </c:ext>
          </c:extLst>
        </c:ser>
        <c:ser>
          <c:idx val="1"/>
          <c:order val="1"/>
          <c:tx>
            <c:strRef>
              <c:f>Лист3!$D$3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Лист3!$D$4:$D$8</c:f>
              <c:numCache>
                <c:formatCode>General</c:formatCode>
                <c:ptCount val="5"/>
                <c:pt idx="0">
                  <c:v>854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5B-4AF5-AA55-E56860D1C9B8}"/>
            </c:ext>
          </c:extLst>
        </c:ser>
        <c:ser>
          <c:idx val="2"/>
          <c:order val="2"/>
          <c:tx>
            <c:strRef>
              <c:f>Лист3!$E$3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Лист3!$E$4:$E$8</c:f>
              <c:numCache>
                <c:formatCode>General</c:formatCode>
                <c:ptCount val="5"/>
                <c:pt idx="0">
                  <c:v>680</c:v>
                </c:pt>
                <c:pt idx="1">
                  <c:v>38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5B-4AF5-AA55-E56860D1C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381248"/>
        <c:axId val="99382784"/>
      </c:barChart>
      <c:catAx>
        <c:axId val="993812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9382784"/>
        <c:crosses val="autoZero"/>
        <c:auto val="1"/>
        <c:lblAlgn val="ctr"/>
        <c:lblOffset val="100"/>
        <c:noMultiLvlLbl val="0"/>
      </c:catAx>
      <c:valAx>
        <c:axId val="993827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обращений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993812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effectLst/>
              </a:rPr>
              <a:t>Тематика вопросов письменных обращений, поступивших в инспекцию государственного строительного надзора Новосибирской области</a:t>
            </a:r>
            <a:endParaRPr lang="ru-RU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100"/>
          </a:p>
        </c:rich>
      </c:tx>
      <c:layout>
        <c:manualLayout>
          <c:xMode val="edge"/>
          <c:yMode val="edge"/>
          <c:x val="0.10928626753019891"/>
          <c:y val="1.2797332304671139E-5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вопросов письменных обращений, поступивших в инспекцию государственного строительного надзора Новосибирской области
</c:v>
                </c:pt>
              </c:strCache>
            </c:strRef>
          </c:tx>
          <c:dLbls>
            <c:dLbl>
              <c:idx val="1"/>
              <c:layout>
                <c:manualLayout>
                  <c:x val="2.2117562160704037E-2"/>
                  <c:y val="-1.3658719919100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8.8837137090513899E-2"/>
                  <c:y val="-2.57420805199087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3179370287586768E-2"/>
                  <c:y val="2.184956470142206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651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Динамика роста/снижения количества обращений</a:t>
            </a:r>
          </a:p>
          <a:p>
            <a:pPr>
              <a:defRPr sz="1100"/>
            </a:pPr>
            <a:r>
              <a:rPr lang="ru-RU" sz="1100"/>
              <a:t> на личном приеме
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роста/снижения количества обращений на личном приеме
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 количестве устных сообщений и запросов, поступивших в адрес инспекции государственного строительного надзора Новосибирской области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21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ln>
          <a:solidFill>
            <a:schemeClr val="tx1"/>
          </a:solidFill>
        </a:ln>
      </c:spPr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C1C89E-B44D-43AC-B182-7BFF0D65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2</cp:revision>
  <cp:lastPrinted>2022-03-02T09:07:00Z</cp:lastPrinted>
  <dcterms:created xsi:type="dcterms:W3CDTF">2023-01-19T08:20:00Z</dcterms:created>
  <dcterms:modified xsi:type="dcterms:W3CDTF">2023-01-19T08:20:00Z</dcterms:modified>
</cp:coreProperties>
</file>