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6" w:type="pct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645"/>
      </w:tblGrid>
      <w:tr>
        <w:trPr>
          <w:trHeight w:val="9126"/>
          <w:tblCellSpacing w:w="0" w:type="dxa"/>
        </w:trPr>
        <w:tc>
          <w:tcPr>
            <w:tcW w:w="9642" w:type="dxa"/>
            <w:hideMark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государственного строительного надзора Новосибирской области в </w:t>
            </w:r>
            <w:r>
              <w:rPr>
                <w:b/>
                <w:color w:val="000000"/>
                <w:kern w:val="36"/>
                <w:lang w:val="en-US"/>
              </w:rPr>
              <w:t>IV</w:t>
            </w:r>
            <w:r>
              <w:rPr>
                <w:b/>
                <w:color w:val="000000"/>
                <w:kern w:val="36"/>
              </w:rPr>
              <w:t xml:space="preserve"> квартале 2022 года </w:t>
            </w:r>
          </w:p>
          <w:tbl>
            <w:tblPr>
              <w:tblW w:w="94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9"/>
            </w:tblGrid>
            <w:tr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>
            <w:pPr>
              <w:autoSpaceDE/>
              <w:autoSpaceDN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         </w:t>
            </w:r>
            <w:r>
              <w:t xml:space="preserve">Рассмотрение обращений граждан, организаций и общественных объединений, направленных в инспекцию государственного строительного надзора 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инспекции. Организацию работы по объективному, всестороннему и своевременному рассмотрению обращений граждан осуществляет отдел кадровой работы и документационного обеспечения инспекции. </w:t>
            </w:r>
          </w:p>
          <w:p>
            <w:pPr>
              <w:autoSpaceDE/>
              <w:autoSpaceDN/>
              <w:ind w:firstLine="709"/>
              <w:jc w:val="both"/>
            </w:pPr>
            <w:r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 по почте, в форме электронного документа на официальный электронный адрес инспекции (gsn.nso.ru), лично (на личных приемах граждан), устно (по телефону), в форме смс-сообщения.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 Требования к организации работы с обращениями граждан, организаций и общественных объединений и проведению личного приема граждан в инспекции установлены приказом инспекции государственного строительного надзора Новосибирской области от 24.05.2021 № 2 "Об утверждении инструкции о порядке организации работы с обращениями граждан".</w:t>
            </w: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квартале</w:t>
            </w:r>
            <w:r>
              <w:t xml:space="preserve"> 2022 года в инспекцию поступило 184 обращения граждан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 – 221, 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  <w:lang w:val="en-US"/>
              </w:rPr>
              <w:t>V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>кв. 2021 – 234)</w:t>
            </w:r>
            <w:r>
              <w:t xml:space="preserve"> , в том числе:</w:t>
            </w:r>
          </w:p>
          <w:p>
            <w:pPr>
              <w:autoSpaceDE/>
              <w:autoSpaceDN/>
              <w:ind w:firstLine="709"/>
              <w:jc w:val="both"/>
            </w:pPr>
            <w:r>
              <w:t>1)</w:t>
            </w:r>
            <w:r>
              <w:tab/>
              <w:t>письменных обращений – 180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</w:t>
            </w:r>
            <w:r>
              <w:rPr>
                <w:color w:val="000000"/>
                <w:kern w:val="36"/>
              </w:rPr>
              <w:t xml:space="preserve"> – 212,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– 227)</w:t>
            </w:r>
            <w:r>
              <w:t xml:space="preserve"> из них в форме электронного документа - 53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 </w:t>
            </w:r>
            <w:r>
              <w:rPr>
                <w:color w:val="000000"/>
                <w:kern w:val="36"/>
              </w:rPr>
              <w:t xml:space="preserve">– 67,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– 63</w:t>
            </w:r>
            <w:r>
              <w:t>);</w:t>
            </w:r>
          </w:p>
          <w:p>
            <w:pPr>
              <w:autoSpaceDE/>
              <w:autoSpaceDN/>
              <w:ind w:firstLine="709"/>
              <w:jc w:val="both"/>
            </w:pPr>
            <w:r>
              <w:t>2) устные обращения по телефону – 2</w:t>
            </w:r>
            <w:r>
              <w:rPr>
                <w:color w:val="000000"/>
                <w:kern w:val="36"/>
              </w:rPr>
              <w:t xml:space="preserve">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 </w:t>
            </w:r>
            <w:r>
              <w:rPr>
                <w:color w:val="000000"/>
                <w:kern w:val="36"/>
              </w:rPr>
              <w:t xml:space="preserve">– 4,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- 2);</w:t>
            </w:r>
          </w:p>
          <w:p>
            <w:pPr>
              <w:autoSpaceDE/>
              <w:autoSpaceDN/>
              <w:ind w:firstLine="709"/>
              <w:jc w:val="both"/>
            </w:pPr>
            <w:r>
              <w:t>3) личный прием – 2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 </w:t>
            </w:r>
            <w:r>
              <w:rPr>
                <w:color w:val="000000"/>
                <w:kern w:val="36"/>
              </w:rPr>
              <w:t xml:space="preserve">– 5,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– 5</w:t>
            </w:r>
            <w:r>
              <w:t>);</w:t>
            </w:r>
          </w:p>
          <w:p>
            <w:pPr>
              <w:autoSpaceDE/>
              <w:autoSpaceDN/>
              <w:ind w:firstLine="709"/>
              <w:jc w:val="both"/>
            </w:pPr>
            <w:r>
              <w:t>4) смс-сообщение - 0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кв. 2022</w:t>
            </w:r>
            <w:r>
              <w:rPr>
                <w:color w:val="000000"/>
                <w:kern w:val="36"/>
              </w:rPr>
              <w:t xml:space="preserve"> – 0,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– 2</w:t>
            </w:r>
            <w:r>
              <w:t>) .</w:t>
            </w: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widowControl w:val="0"/>
              <w:spacing w:before="70"/>
              <w:ind w:left="1655" w:right="555" w:hanging="384"/>
              <w:jc w:val="center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 xml:space="preserve">Структура и количество обращений, поступивших в адрес инспекции государственного строительного надзора Новосибирской области в </w:t>
            </w:r>
            <w:proofErr w:type="gramStart"/>
            <w:r>
              <w:rPr>
                <w:b/>
                <w:sz w:val="26"/>
                <w:szCs w:val="22"/>
                <w:lang w:val="en-US" w:eastAsia="en-US"/>
              </w:rPr>
              <w:t>IV</w:t>
            </w:r>
            <w:proofErr w:type="gramEnd"/>
            <w:r>
              <w:rPr>
                <w:b/>
                <w:sz w:val="26"/>
                <w:szCs w:val="22"/>
                <w:lang w:eastAsia="en-US"/>
              </w:rPr>
              <w:t>квартале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2022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</w:t>
            </w:r>
            <w:r>
              <w:rPr>
                <w:b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в сравнении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с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val="en-US" w:eastAsia="en-US"/>
              </w:rPr>
              <w:t>III</w:t>
            </w:r>
            <w:r>
              <w:rPr>
                <w:b/>
                <w:spacing w:val="-3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кварталом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2022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 xml:space="preserve">и </w:t>
            </w:r>
            <w:r>
              <w:rPr>
                <w:b/>
                <w:sz w:val="26"/>
                <w:szCs w:val="22"/>
                <w:lang w:val="en-US" w:eastAsia="en-US"/>
              </w:rPr>
              <w:t>IV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кварталом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2021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года.</w:t>
            </w:r>
          </w:p>
          <w:p>
            <w:pPr>
              <w:widowControl w:val="0"/>
              <w:spacing w:before="70"/>
              <w:ind w:left="1655" w:right="555" w:hanging="384"/>
              <w:rPr>
                <w:b/>
                <w:sz w:val="26"/>
                <w:szCs w:val="22"/>
                <w:lang w:eastAsia="en-US"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5263764" cy="3697356"/>
                  <wp:effectExtent l="0" t="0" r="13335" b="1778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>
            <w:pPr>
              <w:autoSpaceDE/>
              <w:autoSpaceDN/>
              <w:jc w:val="both"/>
              <w:rPr>
                <w:lang w:val="en-US"/>
              </w:rPr>
            </w:pPr>
          </w:p>
          <w:p>
            <w:pPr>
              <w:autoSpaceDE/>
              <w:autoSpaceDN/>
              <w:jc w:val="both"/>
            </w:pPr>
          </w:p>
          <w:p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Письменные обращения.</w:t>
            </w:r>
          </w:p>
          <w:p>
            <w:pPr>
              <w:autoSpaceDE/>
              <w:autoSpaceDN/>
              <w:ind w:left="106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инспекцию, </w:t>
            </w:r>
            <w:proofErr w:type="gramStart"/>
            <w:r>
              <w:t>зарегистрированы и поставлены</w:t>
            </w:r>
            <w:proofErr w:type="gramEnd"/>
            <w:r>
              <w:t xml:space="preserve"> на контроль.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В </w:t>
            </w:r>
            <w:r>
              <w:rPr>
                <w:lang w:val="en-US"/>
              </w:rPr>
              <w:t>IV</w:t>
            </w:r>
            <w:r>
              <w:t xml:space="preserve"> квартале 2022 года в адрес инспекции поступило 180 письменных обращений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212,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227</w:t>
            </w:r>
            <w:r>
              <w:t>).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По видам письменные обращения подразделяются </w:t>
            </w:r>
            <w:proofErr w:type="gramStart"/>
            <w:r>
              <w:t>на</w:t>
            </w:r>
            <w:proofErr w:type="gramEnd"/>
            <w:r>
              <w:t>: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- заявления – 166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210,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226),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жалобы – 14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2,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1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запросы – 0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0,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0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 – 0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0,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0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- не обращения – 0 (</w:t>
            </w:r>
            <w:r>
              <w:rPr>
                <w:color w:val="000000"/>
                <w:kern w:val="36"/>
                <w:lang w:val="en-US"/>
              </w:rPr>
              <w:t>III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0,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rPr>
                <w:color w:val="000000"/>
                <w:kern w:val="36"/>
              </w:rPr>
              <w:t xml:space="preserve">кв. 2021 </w:t>
            </w:r>
            <w:r>
              <w:rPr>
                <w:color w:val="000000"/>
                <w:kern w:val="36"/>
              </w:rPr>
              <w:t>– 0</w:t>
            </w:r>
            <w:r>
              <w:rPr>
                <w:color w:val="000000"/>
              </w:rPr>
              <w:t>).</w:t>
            </w:r>
          </w:p>
          <w:p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Обращение снимается с контроля только в случае объективного</w:t>
            </w:r>
            <w:r>
              <w:t xml:space="preserve">, </w:t>
            </w:r>
            <w:r>
              <w:rPr>
                <w:color w:val="000000"/>
              </w:rPr>
              <w:t xml:space="preserve">всестороннего и своевременного рассмотрения.  </w:t>
            </w: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spacing w:before="70"/>
              <w:ind w:left="707" w:firstLine="90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Количество письменных обращений, поступивших в инспекцию государственного строительного надзора Новосибирской области</w:t>
            </w:r>
            <w:r>
              <w:rPr>
                <w:b/>
                <w:sz w:val="26"/>
              </w:rPr>
              <w:t xml:space="preserve"> 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  <w:lang w:val="en-US"/>
              </w:rPr>
              <w:t>IV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квартале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2022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сравнении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>III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кварталом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2022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</w:p>
          <w:p>
            <w:pPr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 xml:space="preserve">IV </w:t>
            </w:r>
            <w:r>
              <w:rPr>
                <w:b/>
                <w:sz w:val="26"/>
              </w:rPr>
              <w:t>кварталом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2021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  <w:p>
            <w:pPr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581815" cy="3204375"/>
                  <wp:effectExtent l="0" t="0" r="19050" b="1524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Личный прием.</w:t>
            </w:r>
          </w:p>
          <w:p>
            <w:pPr>
              <w:pStyle w:val="a6"/>
              <w:autoSpaceDE/>
              <w:autoSpaceDN/>
              <w:ind w:left="106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  <w:rPr>
                <w:b/>
              </w:rPr>
            </w:pPr>
            <w:proofErr w:type="gramStart"/>
            <w:r>
              <w:t>В соответствии с постановлением Губернатора Новосибирской области от</w:t>
            </w:r>
            <w:r>
              <w:rPr>
                <w:spacing w:val="1"/>
              </w:rPr>
              <w:t xml:space="preserve"> </w:t>
            </w:r>
            <w:r>
              <w:t>25.12.2006</w:t>
            </w:r>
            <w:r>
              <w:rPr>
                <w:spacing w:val="1"/>
              </w:rPr>
              <w:t xml:space="preserve"> </w:t>
            </w:r>
            <w:r>
              <w:t>№ 516 «О совершенствовании организации личных приемов граждан в</w:t>
            </w:r>
            <w:r>
              <w:rPr>
                <w:spacing w:val="-67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областных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1"/>
              </w:rPr>
              <w:t xml:space="preserve"> </w:t>
            </w:r>
            <w:r>
              <w:t>органах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области»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единый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личного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Губернатором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заместителями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-67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структурных</w:t>
            </w:r>
            <w:r>
              <w:rPr>
                <w:spacing w:val="1"/>
              </w:rPr>
              <w:t xml:space="preserve"> </w:t>
            </w:r>
            <w:r>
              <w:t>подразделений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областных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власти Новосибирской области – каждая пятница месяца с 14.00 до 17.00.</w:t>
            </w:r>
          </w:p>
          <w:p>
            <w:pPr>
              <w:autoSpaceDE/>
              <w:ind w:firstLine="709"/>
              <w:jc w:val="both"/>
              <w:rPr>
                <w:color w:val="000000"/>
                <w:kern w:val="36"/>
              </w:rPr>
            </w:pPr>
            <w:proofErr w:type="gramStart"/>
            <w:r>
              <w:t xml:space="preserve">В </w:t>
            </w:r>
            <w:r>
              <w:rPr>
                <w:color w:val="000000"/>
                <w:kern w:val="36"/>
                <w:lang w:val="en-US"/>
              </w:rPr>
              <w:t>IV</w:t>
            </w:r>
            <w:r>
              <w:rPr>
                <w:color w:val="000000"/>
                <w:kern w:val="36"/>
              </w:rPr>
              <w:t xml:space="preserve"> квартале</w:t>
            </w:r>
            <w:r>
              <w:t xml:space="preserve"> 2022 года было проведено 2 личных приема, на которых были приняты 2 человека по 2 вопросам (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</w:t>
            </w:r>
            <w:r>
              <w:rPr>
                <w:color w:val="000000"/>
                <w:kern w:val="36"/>
              </w:rPr>
              <w:t xml:space="preserve">кв. 2022 – 5 личных приемов, 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  <w:lang w:val="en-US"/>
              </w:rPr>
              <w:t>V</w:t>
            </w:r>
            <w:r>
              <w:rPr>
                <w:color w:val="000000"/>
                <w:kern w:val="36"/>
              </w:rPr>
              <w:t xml:space="preserve"> кв. 2021 </w:t>
            </w:r>
            <w:r>
              <w:rPr>
                <w:color w:val="000000"/>
                <w:kern w:val="36"/>
              </w:rPr>
              <w:t>– 5 личных приемов).</w:t>
            </w:r>
            <w:proofErr w:type="gramEnd"/>
          </w:p>
          <w:p>
            <w:pPr>
              <w:autoSpaceDE/>
              <w:ind w:firstLine="709"/>
              <w:jc w:val="both"/>
            </w:pPr>
            <w:r>
              <w:t xml:space="preserve">В постоянном режиме применяется система личного приема граждан, обеспечивающая право граждан на получение ответов, в том числе в режиме </w:t>
            </w:r>
            <w:proofErr w:type="gramStart"/>
            <w:r>
              <w:t>видео-связи</w:t>
            </w:r>
            <w:proofErr w:type="gramEnd"/>
            <w:r>
              <w:t xml:space="preserve">, аудио-связи и иных видов связи по вопросам, входящим в компетенцию инспекции. </w:t>
            </w:r>
          </w:p>
          <w:p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  <w:r>
              <w:t>Вопросы обращений касались соблюдения градостроительного законодательства застройщиками при проведении строительных работ.</w:t>
            </w:r>
          </w:p>
        </w:tc>
      </w:tr>
    </w:tbl>
    <w:p>
      <w:pPr>
        <w:autoSpaceDE/>
        <w:autoSpaceDN/>
        <w:spacing w:before="300" w:after="180"/>
        <w:jc w:val="center"/>
        <w:outlineLvl w:val="0"/>
        <w:rPr>
          <w:rFonts w:eastAsia="Calibri"/>
          <w:b/>
          <w:lang w:eastAsia="en-US"/>
        </w:rPr>
      </w:pPr>
      <w:r>
        <w:rPr>
          <w:b/>
          <w:color w:val="000000"/>
          <w:kern w:val="36"/>
        </w:rPr>
        <w:t xml:space="preserve">Тематика обзора обращений граждан, поступивших в инспекцию государственного строительного надзора Новосибирской  области                                        </w:t>
      </w:r>
      <w:r>
        <w:rPr>
          <w:rFonts w:eastAsia="Calibri"/>
          <w:b/>
          <w:lang w:eastAsia="en-US"/>
        </w:rPr>
        <w:t>в</w:t>
      </w:r>
      <w:r>
        <w:rPr>
          <w:b/>
          <w:color w:val="000000"/>
          <w:kern w:val="36"/>
        </w:rPr>
        <w:t xml:space="preserve"> </w:t>
      </w:r>
      <w:r>
        <w:rPr>
          <w:b/>
          <w:color w:val="000000"/>
          <w:kern w:val="36"/>
          <w:lang w:val="en-US"/>
        </w:rPr>
        <w:t>IV</w:t>
      </w:r>
      <w:r>
        <w:rPr>
          <w:b/>
          <w:color w:val="000000"/>
          <w:kern w:val="36"/>
        </w:rPr>
        <w:t xml:space="preserve"> кв.</w:t>
      </w:r>
      <w:r>
        <w:rPr>
          <w:b/>
        </w:rPr>
        <w:t xml:space="preserve"> 2022/</w:t>
      </w:r>
      <w:r>
        <w:rPr>
          <w:rFonts w:eastAsia="Calibri"/>
          <w:b/>
          <w:lang w:eastAsia="en-US"/>
        </w:rPr>
        <w:t xml:space="preserve"> </w:t>
      </w:r>
      <w:r>
        <w:rPr>
          <w:b/>
          <w:color w:val="000000"/>
          <w:kern w:val="36"/>
          <w:lang w:val="en-US"/>
        </w:rPr>
        <w:t>III</w:t>
      </w:r>
      <w:r>
        <w:rPr>
          <w:b/>
          <w:color w:val="000000"/>
          <w:kern w:val="36"/>
        </w:rPr>
        <w:t xml:space="preserve"> кв.</w:t>
      </w:r>
      <w:r>
        <w:rPr>
          <w:b/>
        </w:rPr>
        <w:t xml:space="preserve"> 2022 </w:t>
      </w:r>
      <w:r>
        <w:rPr>
          <w:rFonts w:eastAsia="Calibri"/>
          <w:b/>
          <w:lang w:eastAsia="en-US"/>
        </w:rPr>
        <w:t>/</w:t>
      </w:r>
      <w:r>
        <w:rPr>
          <w:color w:val="000000"/>
          <w:kern w:val="36"/>
        </w:rPr>
        <w:t xml:space="preserve"> </w:t>
      </w:r>
      <w:r>
        <w:rPr>
          <w:b/>
          <w:color w:val="000000"/>
          <w:kern w:val="36"/>
          <w:lang w:val="en-US"/>
        </w:rPr>
        <w:t>I</w:t>
      </w:r>
      <w:r>
        <w:rPr>
          <w:b/>
          <w:color w:val="000000"/>
          <w:kern w:val="36"/>
          <w:lang w:val="en-US"/>
        </w:rPr>
        <w:t>V</w:t>
      </w:r>
      <w:r>
        <w:rPr>
          <w:b/>
          <w:color w:val="000000"/>
          <w:kern w:val="36"/>
        </w:rPr>
        <w:t xml:space="preserve"> кв. 2021</w:t>
      </w:r>
      <w:r>
        <w:rPr>
          <w:color w:val="000000"/>
          <w:kern w:val="36"/>
        </w:rPr>
        <w:t xml:space="preserve"> </w:t>
      </w:r>
      <w:r>
        <w:rPr>
          <w:b/>
        </w:rPr>
        <w:t>года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40"/>
        <w:gridCol w:w="1915"/>
        <w:gridCol w:w="2031"/>
        <w:gridCol w:w="1825"/>
        <w:gridCol w:w="1750"/>
      </w:tblGrid>
      <w:tr>
        <w:trPr>
          <w:trHeight w:val="593"/>
        </w:trPr>
        <w:tc>
          <w:tcPr>
            <w:tcW w:w="594" w:type="dxa"/>
            <w:vMerge w:val="restart"/>
            <w:shd w:val="clear" w:color="auto" w:fill="auto"/>
            <w:vAlign w:val="center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r>
              <w:t>Тематика обращений</w:t>
            </w:r>
          </w:p>
        </w:tc>
        <w:tc>
          <w:tcPr>
            <w:tcW w:w="39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r>
              <w:t>Письменные обращения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>
            <w:r>
              <w:t>Устно</w:t>
            </w:r>
          </w:p>
          <w:p>
            <w:r>
              <w:t>(по телефону)</w:t>
            </w:r>
          </w:p>
          <w:p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кв. 2022/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</w:t>
            </w:r>
            <w:r>
              <w:t xml:space="preserve">кв. 2022 / </w:t>
            </w:r>
            <w:r>
              <w:rPr>
                <w:lang w:val="en-US"/>
              </w:rPr>
              <w:t>III</w:t>
            </w:r>
            <w:r>
              <w:t xml:space="preserve"> кв. 2021 года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r>
              <w:t>Лично</w:t>
            </w:r>
          </w:p>
          <w:p>
            <w:r>
              <w:t>(на личных приемах)</w:t>
            </w:r>
          </w:p>
          <w:p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кв. 2022/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</w:t>
            </w:r>
            <w:r>
              <w:t xml:space="preserve">кв. 2022 / </w:t>
            </w:r>
            <w:r>
              <w:rPr>
                <w:lang w:val="en-US"/>
              </w:rPr>
              <w:t>III</w:t>
            </w:r>
            <w:r>
              <w:t xml:space="preserve"> кв. 2021 года</w:t>
            </w:r>
          </w:p>
        </w:tc>
      </w:tr>
      <w:tr>
        <w:trPr>
          <w:trHeight w:val="844"/>
        </w:trPr>
        <w:tc>
          <w:tcPr>
            <w:tcW w:w="594" w:type="dxa"/>
            <w:vMerge/>
            <w:shd w:val="clear" w:color="auto" w:fill="auto"/>
            <w:vAlign w:val="center"/>
          </w:tcPr>
          <w:p/>
        </w:tc>
        <w:tc>
          <w:tcPr>
            <w:tcW w:w="2340" w:type="dxa"/>
            <w:vMerge/>
            <w:shd w:val="clear" w:color="auto" w:fill="auto"/>
            <w:vAlign w:val="center"/>
          </w:tcPr>
          <w:p/>
        </w:tc>
        <w:tc>
          <w:tcPr>
            <w:tcW w:w="1915" w:type="dxa"/>
            <w:shd w:val="clear" w:color="auto" w:fill="auto"/>
            <w:vAlign w:val="center"/>
          </w:tcPr>
          <w:p>
            <w:r>
              <w:t>Письменные обращения</w:t>
            </w:r>
          </w:p>
          <w:p>
            <w:r>
              <w:rPr>
                <w:lang w:val="en-US"/>
              </w:rPr>
              <w:t>III</w:t>
            </w:r>
            <w:r>
              <w:t xml:space="preserve"> кв. 2022/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</w:t>
            </w:r>
            <w:r>
              <w:t xml:space="preserve">кв. 2022 / </w:t>
            </w:r>
            <w:r>
              <w:rPr>
                <w:lang w:val="en-US"/>
              </w:rPr>
              <w:t>III</w:t>
            </w:r>
            <w:r>
              <w:t xml:space="preserve"> кв. 2021 года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r>
              <w:t>В форме электронного документа</w:t>
            </w:r>
          </w:p>
          <w:p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кв. 2022/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</w:t>
            </w:r>
            <w:r>
              <w:t xml:space="preserve">кв. 2022 / </w:t>
            </w:r>
            <w:r>
              <w:rPr>
                <w:lang w:val="en-US"/>
              </w:rPr>
              <w:t>III</w:t>
            </w:r>
            <w:r>
              <w:t xml:space="preserve"> кв. 2021 года</w:t>
            </w:r>
          </w:p>
        </w:tc>
        <w:tc>
          <w:tcPr>
            <w:tcW w:w="1825" w:type="dxa"/>
            <w:vMerge/>
            <w:shd w:val="clear" w:color="auto" w:fill="auto"/>
            <w:vAlign w:val="center"/>
          </w:tcPr>
          <w:p/>
        </w:tc>
        <w:tc>
          <w:tcPr>
            <w:tcW w:w="1750" w:type="dxa"/>
            <w:vMerge/>
            <w:shd w:val="clear" w:color="auto" w:fill="auto"/>
            <w:vAlign w:val="center"/>
          </w:tcPr>
          <w:p/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>Устранение строительных недоделок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r>
              <w:t>16/</w:t>
            </w:r>
            <w:r>
              <w:rPr>
                <w:lang w:val="en-US"/>
              </w:rPr>
              <w:t>1</w:t>
            </w:r>
            <w:r>
              <w:t>3/63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r>
              <w:t>3/2/9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r>
              <w:t>0/</w:t>
            </w:r>
            <w:r>
              <w:rPr>
                <w:lang w:val="en-US"/>
              </w:rPr>
              <w:t>0</w:t>
            </w:r>
            <w:r>
              <w:t>/1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>Прохождение разрешительных процедур на капитальное строительство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r>
              <w:t>16/</w:t>
            </w:r>
            <w:r>
              <w:rPr>
                <w:lang w:val="en-US"/>
              </w:rPr>
              <w:t>1</w:t>
            </w:r>
            <w:r>
              <w:t>4/0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r>
              <w:t>8/4/0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r>
              <w:t>-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11/6/1</w:t>
            </w:r>
            <w:r>
              <w:rPr>
                <w:lang w:val="en-US"/>
              </w:rPr>
              <w:t>6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1/1/</w:t>
            </w:r>
            <w:r>
              <w:rPr>
                <w:lang w:val="en-US"/>
              </w:rPr>
              <w:t>12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r>
              <w:t>0/0/0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t>СНИПов</w:t>
            </w:r>
            <w:proofErr w:type="spellEnd"/>
          </w:p>
        </w:tc>
        <w:tc>
          <w:tcPr>
            <w:tcW w:w="1915" w:type="dxa"/>
            <w:shd w:val="clear" w:color="auto" w:fill="auto"/>
            <w:vAlign w:val="center"/>
          </w:tcPr>
          <w:p>
            <w:r>
              <w:t>84/110/82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r>
              <w:t>30/50/33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0/2/1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r>
              <w:t>2/5/4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>Нормативное правовое регулирование строительной деятельности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r>
              <w:t>4/4/0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r>
              <w:t>4/6/0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r>
              <w:t>0/0/0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r>
              <w:t>Государство, общество, политика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  <w:r>
              <w:t>/</w:t>
            </w:r>
            <w:r>
              <w:rPr>
                <w:lang w:val="en-US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r>
              <w:t>2/2/1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0/0/0</w:t>
            </w:r>
          </w:p>
        </w:tc>
      </w:tr>
      <w:t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Жилищно-коммунальная сфера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0/0/2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2/0/1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0/0/0</w:t>
            </w:r>
          </w:p>
        </w:tc>
      </w:tr>
      <w:tr>
        <w:tc>
          <w:tcPr>
            <w:tcW w:w="293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131/147/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67</w:t>
            </w:r>
          </w:p>
        </w:tc>
        <w:tc>
          <w:tcPr>
            <w:tcW w:w="20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49/65/74</w:t>
            </w:r>
          </w:p>
        </w:tc>
        <w:tc>
          <w:tcPr>
            <w:tcW w:w="1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2/4/2</w:t>
            </w:r>
          </w:p>
        </w:tc>
        <w:tc>
          <w:tcPr>
            <w:tcW w:w="175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2/5/5</w:t>
            </w:r>
          </w:p>
        </w:tc>
      </w:tr>
    </w:tbl>
    <w:p/>
    <w:p>
      <w:pPr>
        <w:jc w:val="center"/>
        <w:rPr>
          <w:b/>
        </w:rPr>
      </w:pPr>
      <w:r>
        <w:rPr>
          <w:b/>
        </w:rPr>
        <w:t>Результативность рассмотрения обращений</w:t>
      </w:r>
    </w:p>
    <w:p>
      <w:pPr>
        <w:jc w:val="center"/>
        <w:rPr>
          <w:b/>
        </w:rPr>
      </w:pP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По результатам рассмотрения</w:t>
      </w:r>
      <w:r>
        <w:rPr>
          <w:bCs/>
          <w:color w:val="000000"/>
        </w:rPr>
        <w:t xml:space="preserve"> вопросов, содержащихся в </w:t>
      </w:r>
      <w:r>
        <w:rPr>
          <w:color w:val="000000"/>
        </w:rPr>
        <w:t>обращениях: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поддержано -  0 </w:t>
      </w:r>
      <w:r>
        <w:t>(</w:t>
      </w:r>
      <w:r>
        <w:rPr>
          <w:color w:val="000000"/>
          <w:kern w:val="36"/>
          <w:lang w:val="en-US"/>
        </w:rPr>
        <w:t>I</w:t>
      </w:r>
      <w:r>
        <w:rPr>
          <w:color w:val="000000"/>
          <w:kern w:val="36"/>
          <w:lang w:val="en-US"/>
        </w:rPr>
        <w:t>II</w:t>
      </w:r>
      <w:r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 xml:space="preserve">кв. 2022 – 0, </w:t>
      </w:r>
      <w:r>
        <w:rPr>
          <w:color w:val="000000"/>
          <w:kern w:val="36"/>
          <w:lang w:val="en-US"/>
        </w:rPr>
        <w:t>I</w:t>
      </w:r>
      <w:r>
        <w:rPr>
          <w:color w:val="000000"/>
          <w:kern w:val="36"/>
          <w:lang w:val="en-US"/>
        </w:rPr>
        <w:t>V</w:t>
      </w:r>
      <w:r>
        <w:rPr>
          <w:color w:val="000000"/>
          <w:kern w:val="36"/>
        </w:rPr>
        <w:t xml:space="preserve"> кв. 2021 </w:t>
      </w:r>
      <w:r>
        <w:rPr>
          <w:color w:val="000000"/>
          <w:kern w:val="36"/>
        </w:rPr>
        <w:t>- 0</w:t>
      </w:r>
      <w:r>
        <w:t>),</w:t>
      </w:r>
    </w:p>
    <w:p>
      <w:pPr>
        <w:autoSpaceDE/>
        <w:autoSpaceDN/>
        <w:jc w:val="both"/>
      </w:pPr>
      <w:r>
        <w:rPr>
          <w:color w:val="000000"/>
        </w:rPr>
        <w:t xml:space="preserve">разъяснено - 141 </w:t>
      </w:r>
      <w:r>
        <w:t>(</w:t>
      </w:r>
      <w:r>
        <w:rPr>
          <w:color w:val="000000"/>
          <w:kern w:val="36"/>
          <w:lang w:val="en-US"/>
        </w:rPr>
        <w:t>III</w:t>
      </w:r>
      <w:r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 xml:space="preserve">кв. 2022 – 181, </w:t>
      </w:r>
      <w:r>
        <w:rPr>
          <w:color w:val="000000"/>
          <w:kern w:val="36"/>
          <w:lang w:val="en-US"/>
        </w:rPr>
        <w:t>IV</w:t>
      </w:r>
      <w:r>
        <w:rPr>
          <w:color w:val="000000"/>
          <w:kern w:val="36"/>
        </w:rPr>
        <w:t xml:space="preserve"> кв. 2021 </w:t>
      </w:r>
      <w:r>
        <w:rPr>
          <w:color w:val="000000"/>
          <w:kern w:val="36"/>
        </w:rPr>
        <w:t>– 196)</w:t>
      </w:r>
    </w:p>
    <w:p>
      <w:pPr>
        <w:autoSpaceDE/>
        <w:autoSpaceDN/>
        <w:jc w:val="both"/>
        <w:rPr>
          <w:color w:val="000000"/>
        </w:rPr>
      </w:pPr>
      <w:r>
        <w:t>направлено по компетенции – 39 (</w:t>
      </w:r>
      <w:r>
        <w:rPr>
          <w:color w:val="000000"/>
          <w:kern w:val="36"/>
          <w:lang w:val="en-US"/>
        </w:rPr>
        <w:t>III</w:t>
      </w:r>
      <w:r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 xml:space="preserve">кв. 2022 – 40, </w:t>
      </w:r>
      <w:r>
        <w:rPr>
          <w:color w:val="000000"/>
          <w:kern w:val="36"/>
          <w:lang w:val="en-US"/>
        </w:rPr>
        <w:t>IV</w:t>
      </w:r>
      <w:r>
        <w:rPr>
          <w:color w:val="000000"/>
          <w:kern w:val="36"/>
        </w:rPr>
        <w:t xml:space="preserve"> кв. 2021 </w:t>
      </w:r>
      <w:r>
        <w:rPr>
          <w:color w:val="000000"/>
          <w:kern w:val="36"/>
        </w:rPr>
        <w:t>- 38</w:t>
      </w:r>
      <w: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оставлено без ответа – 0 </w:t>
      </w:r>
      <w:r>
        <w:t>(</w:t>
      </w:r>
      <w:r>
        <w:rPr>
          <w:color w:val="000000"/>
          <w:kern w:val="36"/>
          <w:lang w:val="en-US"/>
        </w:rPr>
        <w:t>III</w:t>
      </w:r>
      <w:r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 xml:space="preserve">кв. 2022 – 0, </w:t>
      </w:r>
      <w:r>
        <w:rPr>
          <w:color w:val="000000"/>
          <w:kern w:val="36"/>
          <w:lang w:val="en-US"/>
        </w:rPr>
        <w:t>IV</w:t>
      </w:r>
      <w:r>
        <w:rPr>
          <w:color w:val="000000"/>
          <w:kern w:val="36"/>
        </w:rPr>
        <w:t xml:space="preserve"> кв. 2021 </w:t>
      </w:r>
      <w:r>
        <w:t>– 0).</w:t>
      </w:r>
    </w:p>
    <w:p>
      <w:pPr>
        <w:autoSpaceDE/>
        <w:autoSpaceDN/>
        <w:jc w:val="both"/>
      </w:pPr>
    </w:p>
    <w:p>
      <w:pPr>
        <w:autoSpaceDE/>
        <w:autoSpaceDN/>
        <w:jc w:val="both"/>
        <w:rPr>
          <w:color w:val="000000"/>
        </w:rPr>
      </w:pPr>
    </w:p>
    <w:p>
      <w:pPr>
        <w:autoSpaceDE/>
        <w:autoSpaceDN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 граждан</w:t>
      </w:r>
    </w:p>
    <w:p>
      <w:pPr>
        <w:jc w:val="both"/>
        <w:rPr>
          <w:b/>
        </w:rPr>
      </w:pPr>
    </w:p>
    <w:p>
      <w:pPr>
        <w:jc w:val="both"/>
      </w:pPr>
      <w:r>
        <w:t xml:space="preserve">        В </w:t>
      </w:r>
      <w:r>
        <w:rPr>
          <w:color w:val="000000"/>
          <w:kern w:val="36"/>
          <w:lang w:val="en-US"/>
        </w:rPr>
        <w:t>IV</w:t>
      </w:r>
      <w:r>
        <w:rPr>
          <w:color w:val="000000"/>
          <w:kern w:val="36"/>
        </w:rPr>
        <w:t xml:space="preserve"> </w:t>
      </w:r>
      <w:r>
        <w:rPr>
          <w:color w:val="000000"/>
          <w:kern w:val="36"/>
        </w:rPr>
        <w:t>квартале</w:t>
      </w:r>
      <w:r>
        <w:t xml:space="preserve"> 2022 года все обращения  рассмотрены без нарушения порядка рассмотрения обращений граждан. </w:t>
      </w:r>
    </w:p>
    <w:p>
      <w:pPr>
        <w:autoSpaceDE/>
        <w:autoSpaceDN/>
        <w:ind w:firstLine="709"/>
        <w:jc w:val="both"/>
      </w:pPr>
      <w:r>
        <w:t>Организация работы с обращениями граждан в инспекции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/>
    <w:sectPr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pPr>
      <w:widowControl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pPr>
      <w:widowControl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30492646073964"/>
          <c:y val="2.8659959171770194E-2"/>
          <c:w val="0.87862616521469017"/>
          <c:h val="0.793247613417153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2022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184</c:v>
                </c:pt>
                <c:pt idx="1">
                  <c:v>180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221</c:v>
                </c:pt>
                <c:pt idx="1">
                  <c:v>212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IV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234</c:v>
                </c:pt>
                <c:pt idx="1">
                  <c:v>227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4370304"/>
        <c:axId val="184371840"/>
        <c:axId val="0"/>
      </c:bar3DChart>
      <c:catAx>
        <c:axId val="184370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84371840"/>
        <c:crosses val="autoZero"/>
        <c:auto val="1"/>
        <c:lblAlgn val="ctr"/>
        <c:lblOffset val="100"/>
        <c:noMultiLvlLbl val="0"/>
      </c:catAx>
      <c:valAx>
        <c:axId val="184371840"/>
        <c:scaling>
          <c:orientation val="minMax"/>
          <c:max val="2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370304"/>
        <c:crosses val="autoZero"/>
        <c:crossBetween val="between"/>
        <c:majorUnit val="50"/>
        <c:minorUnit val="50"/>
      </c:valAx>
      <c:spPr>
        <a:ln>
          <a:noFill/>
        </a:ln>
      </c:spPr>
    </c:plotArea>
    <c:legend>
      <c:legendPos val="b"/>
      <c:overlay val="1"/>
      <c:spPr>
        <a:noFill/>
        <a:effectLst>
          <a:innerShdw blurRad="63500" dist="50800" dir="13500000">
            <a:schemeClr val="accent1">
              <a:lumMod val="20000"/>
              <a:lumOff val="80000"/>
              <a:alpha val="50000"/>
            </a:schemeClr>
          </a:innerShdw>
        </a:effectLst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697640337839872"/>
          <c:y val="4.4003045992615966E-2"/>
          <c:w val="0.74301595406376253"/>
          <c:h val="0.613039719618876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2022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166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2022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IV квартал 2021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8838144"/>
        <c:axId val="218840064"/>
        <c:axId val="0"/>
      </c:bar3DChart>
      <c:catAx>
        <c:axId val="21883814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8840064"/>
        <c:crosses val="autoZero"/>
        <c:auto val="1"/>
        <c:lblAlgn val="ctr"/>
        <c:lblOffset val="100"/>
        <c:noMultiLvlLbl val="0"/>
      </c:catAx>
      <c:valAx>
        <c:axId val="218840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88381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 кв. 2022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141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кв. 2022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181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IV  кв. 2021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196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6785408"/>
        <c:axId val="462361344"/>
        <c:axId val="0"/>
      </c:bar3DChart>
      <c:catAx>
        <c:axId val="336785408"/>
        <c:scaling>
          <c:orientation val="minMax"/>
        </c:scaling>
        <c:delete val="0"/>
        <c:axPos val="b"/>
        <c:majorTickMark val="out"/>
        <c:minorTickMark val="none"/>
        <c:tickLblPos val="nextTo"/>
        <c:crossAx val="462361344"/>
        <c:crosses val="autoZero"/>
        <c:auto val="1"/>
        <c:lblAlgn val="ctr"/>
        <c:lblOffset val="100"/>
        <c:noMultiLvlLbl val="0"/>
      </c:catAx>
      <c:valAx>
        <c:axId val="46236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78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Чубарова Ольга Сергеевна</cp:lastModifiedBy>
  <cp:revision>2</cp:revision>
  <cp:lastPrinted>2022-05-12T08:06:00Z</cp:lastPrinted>
  <dcterms:created xsi:type="dcterms:W3CDTF">2023-01-10T09:07:00Z</dcterms:created>
  <dcterms:modified xsi:type="dcterms:W3CDTF">2023-01-10T09:07:00Z</dcterms:modified>
</cp:coreProperties>
</file>