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5A" w:rsidRDefault="00A9055A" w:rsidP="00A30CF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7449A" w:rsidRDefault="00B7449A" w:rsidP="000E07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630B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</w:t>
      </w:r>
      <w:r w:rsidR="000E07A1">
        <w:rPr>
          <w:rFonts w:ascii="Times New Roman" w:eastAsia="Times New Roman" w:hAnsi="Times New Roman"/>
          <w:b/>
          <w:sz w:val="32"/>
          <w:szCs w:val="32"/>
          <w:lang w:eastAsia="ru-RU"/>
        </w:rPr>
        <w:t>Результаты осуществления регионального</w:t>
      </w:r>
      <w:r w:rsidRPr="005630B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государс</w:t>
      </w:r>
      <w:r w:rsidR="00A30CFC" w:rsidRPr="005630B6">
        <w:rPr>
          <w:rFonts w:ascii="Times New Roman" w:eastAsia="Times New Roman" w:hAnsi="Times New Roman"/>
          <w:b/>
          <w:sz w:val="32"/>
          <w:szCs w:val="32"/>
          <w:lang w:eastAsia="ru-RU"/>
        </w:rPr>
        <w:t>твенного строительного надзора</w:t>
      </w:r>
      <w:r w:rsidR="000E07A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 2020 году</w:t>
      </w:r>
      <w:r w:rsidR="00A30CFC" w:rsidRPr="005630B6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B65F4B" w:rsidRPr="005630B6" w:rsidRDefault="00B65F4B" w:rsidP="000E07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7449A" w:rsidRDefault="00AB7D83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г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осударственный строительный надзор на территории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восибирской области 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>организован</w:t>
      </w:r>
      <w:r w:rsidR="006A7E1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и осуществляется 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>ниями ст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атей 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75D7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</w:t>
      </w:r>
      <w:r w:rsidR="001B49A1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>кодекс</w:t>
      </w:r>
      <w:r w:rsidR="001B49A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1B49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9A1" w:rsidRPr="00B7449A">
        <w:rPr>
          <w:rFonts w:ascii="Times New Roman" w:eastAsia="Times New Roman" w:hAnsi="Times New Roman"/>
          <w:sz w:val="28"/>
          <w:szCs w:val="28"/>
          <w:lang w:eastAsia="ru-RU"/>
        </w:rPr>
        <w:t>от 28.12.2004 № 190-ФЗ</w:t>
      </w:r>
      <w:r w:rsidR="001B49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5F4B" w:rsidRPr="00B65F4B" w:rsidRDefault="00B65F4B" w:rsidP="00B6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Региональный государственный строительный надзор, </w:t>
      </w:r>
      <w:r w:rsidRPr="00905FBD">
        <w:rPr>
          <w:rFonts w:ascii="Times New Roman" w:eastAsia="Times New Roman" w:hAnsi="Times New Roman"/>
          <w:b/>
          <w:sz w:val="28"/>
          <w:szCs w:val="28"/>
          <w:lang w:eastAsia="ru-RU"/>
        </w:rPr>
        <w:t>в соответствии с ч. 1 ст. 54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</w:t>
      </w:r>
      <w:r w:rsidR="00905FBD" w:rsidRPr="00905FB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(далее – Кодекс)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осуществлялся </w:t>
      </w:r>
      <w:proofErr w:type="gramStart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65F4B" w:rsidRPr="00B65F4B" w:rsidRDefault="00B65F4B" w:rsidP="00B6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-  строительстве объектов капитального строительства, </w:t>
      </w:r>
      <w:proofErr w:type="gramStart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проектная</w:t>
      </w:r>
      <w:proofErr w:type="gramEnd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доку-</w:t>
      </w:r>
      <w:proofErr w:type="spellStart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ментация</w:t>
      </w:r>
      <w:proofErr w:type="spellEnd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подлежит экспертизе в соответствии со статьей 49 Кодекс</w:t>
      </w:r>
      <w:r w:rsidR="00905F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случая, предусмотренного частью 3.3 статьи 49 Кодекса;</w:t>
      </w:r>
    </w:p>
    <w:p w:rsidR="00B65F4B" w:rsidRDefault="00B65F4B" w:rsidP="00B6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- реконструкции объектов капитального строительства, в том числе при проведении работ по сохранению объектов культурного наследия, </w:t>
      </w:r>
      <w:proofErr w:type="gramStart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затрагиваю-</w:t>
      </w:r>
      <w:proofErr w:type="spellStart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щих</w:t>
      </w:r>
      <w:proofErr w:type="spellEnd"/>
      <w:proofErr w:type="gramEnd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конструктивные и другие характеристики надежности и безопасности таких объектов, если проектная документация на осуществление реконструкции </w:t>
      </w:r>
      <w:proofErr w:type="spellStart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объек-тов</w:t>
      </w:r>
      <w:proofErr w:type="spellEnd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капитального строительства, в том числе указанных работ по сохранению объектов культурного наследия, подлежит экспертизе в соответствии со статьей 49 Кодекса, за исключением случая, предусмотренного частью 3.3 статьи 49  </w:t>
      </w:r>
      <w:proofErr w:type="gramStart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Ко-</w:t>
      </w:r>
      <w:proofErr w:type="spellStart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декса</w:t>
      </w:r>
      <w:proofErr w:type="spellEnd"/>
      <w:proofErr w:type="gramEnd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105F" w:rsidRPr="00B65F4B" w:rsidRDefault="0092105F" w:rsidP="00B6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таким объектам, в основном, относятся многоквартирные жилые дома, нежилые объекты капитального строительства выше 2-х этажей либо площадью более 1500 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мосты, дороги, газопроводы,</w:t>
      </w:r>
      <w:r w:rsidR="009273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трубопроводы и иные линейные объекты, </w:t>
      </w:r>
      <w:r w:rsidR="009273B8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объекты</w:t>
      </w:r>
      <w:r w:rsidR="009273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5F4B" w:rsidRPr="00B65F4B" w:rsidRDefault="00B65F4B" w:rsidP="00B6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 региональный государственный строительный надзор, в </w:t>
      </w:r>
      <w:proofErr w:type="spellStart"/>
      <w:proofErr w:type="gramStart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соответ-ствии</w:t>
      </w:r>
      <w:proofErr w:type="spellEnd"/>
      <w:proofErr w:type="gramEnd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A26">
        <w:rPr>
          <w:rFonts w:ascii="Times New Roman" w:eastAsia="Times New Roman" w:hAnsi="Times New Roman"/>
          <w:b/>
          <w:sz w:val="28"/>
          <w:szCs w:val="28"/>
          <w:lang w:eastAsia="ru-RU"/>
        </w:rPr>
        <w:t>с ч. 1.1 ст. 54 Кодекса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,  осуществлялся:</w:t>
      </w:r>
    </w:p>
    <w:p w:rsidR="00D736E7" w:rsidRDefault="00B65F4B" w:rsidP="00B6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- при строительстве, реконструкции объектов капитального строительства, не указанных в части 1 ст. 54 Кодекса, а также в отношении таких объектов ка-</w:t>
      </w:r>
      <w:proofErr w:type="spellStart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питального</w:t>
      </w:r>
      <w:proofErr w:type="spellEnd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строительства, работы по строительству, реконструкции которых за-вершены (за исключением случая, если по завершении указанных работ получ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но разрешение на ввод объекта в эксплуатацию), </w:t>
      </w:r>
      <w:r w:rsidRPr="00B91A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форме выездной проверки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</w:t>
      </w:r>
      <w:r w:rsidRPr="00B91A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 наличии оснований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подпунктом "б" пункта 2, подпунктом "б" или "в</w:t>
      </w:r>
      <w:proofErr w:type="gramEnd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proofErr w:type="gramStart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3 части 5 ст. 54 Кодекса, либо </w:t>
      </w:r>
      <w:r w:rsidRPr="00B91A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основании о</w:t>
      </w:r>
      <w:r w:rsidRPr="00B91A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</w:t>
      </w:r>
      <w:r w:rsidRPr="00B91A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ращений и заявлений 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граждан, в том числе индивидуальных предпринимателей, юридических лиц, информации от органов государственной власти (</w:t>
      </w:r>
      <w:proofErr w:type="spellStart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должност-ных</w:t>
      </w:r>
      <w:proofErr w:type="spellEnd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 лиц органа государственного надзора), органов местного самоуправления, из средств массовой информации </w:t>
      </w:r>
      <w:r w:rsidRPr="00B91A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 нарушении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A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 строительстве, реко</w:t>
      </w:r>
      <w:r w:rsidRPr="00B91A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</w:t>
      </w:r>
      <w:r w:rsidRPr="00B91A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струкции объектов 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капитального строительства, </w:t>
      </w:r>
      <w:r w:rsidRPr="00B91A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 указанных в части 1 ст. 54 Кодекса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, установленных правилами землепользования и застройки, докуме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тацией</w:t>
      </w:r>
      <w:proofErr w:type="gramEnd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планировке территории предельных параметров разрешенного стро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тельства, реконструкции объектов капитального строительства или обязател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ных </w:t>
      </w:r>
      <w:proofErr w:type="spellStart"/>
      <w:proofErr w:type="gramStart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требова-ний</w:t>
      </w:r>
      <w:proofErr w:type="spellEnd"/>
      <w:proofErr w:type="gramEnd"/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параметрам объектов капитального строительства, устано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 xml:space="preserve">ленных Кодек-сом, другими федеральными законами. В отношении указанных в ч. 1.1 ст. 54 Кодекса объектов капитального строительства государственный 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строительный надзор осуществляется с учетом особенностей, установленных ч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65F4B">
        <w:rPr>
          <w:rFonts w:ascii="Times New Roman" w:eastAsia="Times New Roman" w:hAnsi="Times New Roman"/>
          <w:sz w:val="28"/>
          <w:szCs w:val="28"/>
          <w:lang w:eastAsia="ru-RU"/>
        </w:rPr>
        <w:t>стями 6.1 и 6.2 ст. 54 Кодекса.</w:t>
      </w:r>
    </w:p>
    <w:p w:rsidR="0092105F" w:rsidRDefault="0092105F" w:rsidP="00B6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Это, в основном, </w:t>
      </w:r>
      <w:r w:rsidRPr="00B91A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объекты ИЖС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реже – </w:t>
      </w:r>
      <w:r w:rsidRPr="00B91A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небольшие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A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малоэтажные об</w:t>
      </w:r>
      <w:r w:rsidRPr="00B91A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ъ</w:t>
      </w:r>
      <w:r w:rsidRPr="00B91A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5F4B" w:rsidRPr="004F6727" w:rsidRDefault="00B65F4B" w:rsidP="00B65F4B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727">
        <w:rPr>
          <w:rFonts w:ascii="Times New Roman" w:eastAsia="Times New Roman" w:hAnsi="Times New Roman"/>
          <w:sz w:val="28"/>
          <w:szCs w:val="28"/>
          <w:lang w:eastAsia="ru-RU"/>
        </w:rPr>
        <w:t>В течение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F67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под надзором инспекции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постоянной основе (по ч.1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54 Кодекса) </w:t>
      </w:r>
      <w:r w:rsidRPr="004F6727">
        <w:rPr>
          <w:rFonts w:ascii="Times New Roman" w:eastAsia="Times New Roman" w:hAnsi="Times New Roman"/>
          <w:sz w:val="28"/>
          <w:szCs w:val="28"/>
          <w:lang w:eastAsia="ru-RU"/>
        </w:rPr>
        <w:t>находилось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543</w:t>
      </w:r>
      <w:r w:rsidRPr="004F672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объекта.</w:t>
      </w:r>
    </w:p>
    <w:p w:rsidR="00B65F4B" w:rsidRPr="00610D21" w:rsidRDefault="00B65F4B" w:rsidP="00B65F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виды объектов, состоявших в надзоре в течение 2020 года, </w:t>
      </w:r>
      <w:r w:rsidRPr="00A6595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их функциональному назначению:</w:t>
      </w:r>
    </w:p>
    <w:p w:rsidR="00B65F4B" w:rsidRPr="0083795F" w:rsidRDefault="00B65F4B" w:rsidP="00B65F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95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694</w:t>
      </w:r>
      <w:r w:rsidRPr="0083795F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многоквартирны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8379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жилых </w:t>
      </w:r>
      <w:r w:rsidRPr="0083795F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83795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B65F4B" w:rsidRPr="0083795F" w:rsidRDefault="00B65F4B" w:rsidP="00B65F4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8379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795F">
        <w:rPr>
          <w:rFonts w:ascii="Times New Roman" w:hAnsi="Times New Roman"/>
          <w:bCs/>
          <w:iCs/>
          <w:sz w:val="28"/>
          <w:szCs w:val="28"/>
        </w:rPr>
        <w:t>объект</w:t>
      </w:r>
      <w:r>
        <w:rPr>
          <w:rFonts w:ascii="Times New Roman" w:hAnsi="Times New Roman"/>
          <w:bCs/>
          <w:iCs/>
          <w:sz w:val="28"/>
          <w:szCs w:val="28"/>
        </w:rPr>
        <w:t>ов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  учебно-воспитательного назначения; </w:t>
      </w:r>
    </w:p>
    <w:p w:rsidR="00B65F4B" w:rsidRDefault="00B65F4B" w:rsidP="00B65F4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>43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 объект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 здравоохранения и социального обслуживания</w:t>
      </w:r>
      <w:r>
        <w:rPr>
          <w:rFonts w:ascii="Times New Roman" w:hAnsi="Times New Roman"/>
          <w:bCs/>
          <w:iCs/>
          <w:sz w:val="28"/>
          <w:szCs w:val="28"/>
        </w:rPr>
        <w:t>;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B65F4B" w:rsidRPr="0083795F" w:rsidRDefault="00B65F4B" w:rsidP="00B65F4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- 90 зданий общественного и административного назначения;</w:t>
      </w:r>
    </w:p>
    <w:p w:rsidR="00B65F4B" w:rsidRPr="0083795F" w:rsidRDefault="00B65F4B" w:rsidP="00B65F4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>111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 объект</w:t>
      </w:r>
      <w:r>
        <w:rPr>
          <w:rFonts w:ascii="Times New Roman" w:hAnsi="Times New Roman"/>
          <w:bCs/>
          <w:iCs/>
          <w:sz w:val="28"/>
          <w:szCs w:val="28"/>
        </w:rPr>
        <w:t>ов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 для культурно-досуговой деятельности населения</w:t>
      </w:r>
      <w:r>
        <w:rPr>
          <w:rFonts w:ascii="Times New Roman" w:hAnsi="Times New Roman"/>
          <w:bCs/>
          <w:iCs/>
          <w:sz w:val="28"/>
          <w:szCs w:val="28"/>
        </w:rPr>
        <w:t xml:space="preserve"> и торго</w:t>
      </w: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bCs/>
          <w:iCs/>
          <w:sz w:val="28"/>
          <w:szCs w:val="28"/>
        </w:rPr>
        <w:t xml:space="preserve">ли, 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в том числе спортивных объектов – </w:t>
      </w:r>
      <w:r>
        <w:rPr>
          <w:rFonts w:ascii="Times New Roman" w:hAnsi="Times New Roman"/>
          <w:bCs/>
          <w:iCs/>
          <w:sz w:val="28"/>
          <w:szCs w:val="28"/>
        </w:rPr>
        <w:t>31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, объектов </w:t>
      </w:r>
      <w:r>
        <w:rPr>
          <w:rFonts w:ascii="Times New Roman" w:hAnsi="Times New Roman"/>
          <w:bCs/>
          <w:iCs/>
          <w:sz w:val="28"/>
          <w:szCs w:val="28"/>
        </w:rPr>
        <w:t>культуры – 14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; </w:t>
      </w:r>
    </w:p>
    <w:p w:rsidR="00B65F4B" w:rsidRPr="0083795F" w:rsidRDefault="00B65F4B" w:rsidP="00B65F4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>143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объекта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 производственного и складского назначения;</w:t>
      </w:r>
    </w:p>
    <w:p w:rsidR="00B65F4B" w:rsidRPr="0083795F" w:rsidRDefault="00B65F4B" w:rsidP="00B65F4B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hAnsi="Times New Roman"/>
          <w:bCs/>
          <w:iCs/>
          <w:sz w:val="28"/>
          <w:szCs w:val="28"/>
        </w:rPr>
        <w:t xml:space="preserve"> - </w:t>
      </w:r>
      <w:r>
        <w:rPr>
          <w:rFonts w:ascii="Times New Roman" w:hAnsi="Times New Roman"/>
          <w:bCs/>
          <w:iCs/>
          <w:sz w:val="28"/>
          <w:szCs w:val="28"/>
        </w:rPr>
        <w:t>216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 объект</w:t>
      </w:r>
      <w:r>
        <w:rPr>
          <w:rFonts w:ascii="Times New Roman" w:hAnsi="Times New Roman"/>
          <w:bCs/>
          <w:iCs/>
          <w:sz w:val="28"/>
          <w:szCs w:val="28"/>
        </w:rPr>
        <w:t>ов инженерного обеспечения (</w:t>
      </w:r>
      <w:r w:rsidRPr="00BE3E5A">
        <w:rPr>
          <w:rFonts w:ascii="Times New Roman" w:hAnsi="Times New Roman"/>
          <w:bCs/>
          <w:iCs/>
          <w:sz w:val="28"/>
          <w:szCs w:val="28"/>
        </w:rPr>
        <w:t xml:space="preserve">из них </w:t>
      </w:r>
      <w:r>
        <w:rPr>
          <w:rFonts w:ascii="Times New Roman" w:hAnsi="Times New Roman"/>
          <w:bCs/>
          <w:iCs/>
          <w:sz w:val="28"/>
          <w:szCs w:val="28"/>
        </w:rPr>
        <w:t>54</w:t>
      </w:r>
      <w:r w:rsidRPr="00BE3E5A">
        <w:rPr>
          <w:rFonts w:ascii="Times New Roman" w:hAnsi="Times New Roman"/>
          <w:bCs/>
          <w:iCs/>
          <w:sz w:val="28"/>
          <w:szCs w:val="28"/>
        </w:rPr>
        <w:t xml:space="preserve"> скважин</w:t>
      </w:r>
      <w:r>
        <w:rPr>
          <w:rFonts w:ascii="Times New Roman" w:hAnsi="Times New Roman"/>
          <w:bCs/>
          <w:iCs/>
          <w:sz w:val="28"/>
          <w:szCs w:val="28"/>
        </w:rPr>
        <w:t>ы), энергет</w:t>
      </w:r>
      <w:r>
        <w:rPr>
          <w:rFonts w:ascii="Times New Roman" w:hAnsi="Times New Roman"/>
          <w:bCs/>
          <w:iCs/>
          <w:sz w:val="28"/>
          <w:szCs w:val="28"/>
        </w:rPr>
        <w:t>и</w:t>
      </w:r>
      <w:r>
        <w:rPr>
          <w:rFonts w:ascii="Times New Roman" w:hAnsi="Times New Roman"/>
          <w:bCs/>
          <w:iCs/>
          <w:sz w:val="28"/>
          <w:szCs w:val="28"/>
        </w:rPr>
        <w:t>ки, транспортной инфраструктуры (в том числе 19 автомобильных и пешехо</w:t>
      </w:r>
      <w:r>
        <w:rPr>
          <w:rFonts w:ascii="Times New Roman" w:hAnsi="Times New Roman"/>
          <w:bCs/>
          <w:iCs/>
          <w:sz w:val="28"/>
          <w:szCs w:val="28"/>
        </w:rPr>
        <w:t>д</w:t>
      </w:r>
      <w:r>
        <w:rPr>
          <w:rFonts w:ascii="Times New Roman" w:hAnsi="Times New Roman"/>
          <w:bCs/>
          <w:iCs/>
          <w:sz w:val="28"/>
          <w:szCs w:val="28"/>
        </w:rPr>
        <w:t>ных мостов)</w:t>
      </w:r>
      <w:r w:rsidRPr="0083795F">
        <w:rPr>
          <w:rFonts w:ascii="Times New Roman" w:hAnsi="Times New Roman"/>
          <w:bCs/>
          <w:iCs/>
          <w:sz w:val="28"/>
          <w:szCs w:val="28"/>
        </w:rPr>
        <w:t>;</w:t>
      </w:r>
    </w:p>
    <w:p w:rsidR="00B65F4B" w:rsidRPr="0025340C" w:rsidRDefault="00B65F4B" w:rsidP="00B65F4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5340C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>155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линейных объект</w:t>
      </w:r>
      <w:r>
        <w:rPr>
          <w:rFonts w:ascii="Times New Roman" w:hAnsi="Times New Roman"/>
          <w:bCs/>
          <w:iCs/>
          <w:sz w:val="28"/>
          <w:szCs w:val="28"/>
        </w:rPr>
        <w:t>ов</w:t>
      </w:r>
      <w:r w:rsidRPr="0025340C">
        <w:rPr>
          <w:rFonts w:ascii="Times New Roman" w:hAnsi="Times New Roman"/>
          <w:bCs/>
          <w:iCs/>
          <w:sz w:val="28"/>
          <w:szCs w:val="28"/>
        </w:rPr>
        <w:t>, в том числе</w:t>
      </w:r>
      <w:r>
        <w:rPr>
          <w:rFonts w:ascii="Times New Roman" w:hAnsi="Times New Roman"/>
          <w:bCs/>
          <w:iCs/>
          <w:sz w:val="28"/>
          <w:szCs w:val="28"/>
        </w:rPr>
        <w:t>: 28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газопровод</w:t>
      </w:r>
      <w:r>
        <w:rPr>
          <w:rFonts w:ascii="Times New Roman" w:hAnsi="Times New Roman"/>
          <w:bCs/>
          <w:iCs/>
          <w:sz w:val="28"/>
          <w:szCs w:val="28"/>
        </w:rPr>
        <w:t>ов,  66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объект</w:t>
      </w:r>
      <w:r>
        <w:rPr>
          <w:rFonts w:ascii="Times New Roman" w:hAnsi="Times New Roman"/>
          <w:bCs/>
          <w:iCs/>
          <w:sz w:val="28"/>
          <w:szCs w:val="28"/>
        </w:rPr>
        <w:t>ов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сетей водопровода и канализации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61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автодорог</w:t>
      </w:r>
      <w:r>
        <w:rPr>
          <w:rFonts w:ascii="Times New Roman" w:hAnsi="Times New Roman"/>
          <w:bCs/>
          <w:iCs/>
          <w:sz w:val="28"/>
          <w:szCs w:val="28"/>
        </w:rPr>
        <w:t>а.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B65F4B" w:rsidRDefault="00B65F4B" w:rsidP="00B6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8BF" w:rsidRPr="005B47AE" w:rsidRDefault="001515BD" w:rsidP="00874DB5">
      <w:pPr>
        <w:spacing w:after="12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BC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сведения, характеризующие работу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278BF" w:rsidRPr="0098318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6278BF" w:rsidRPr="009831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0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цией </w:t>
      </w:r>
      <w:r w:rsidR="003404AB">
        <w:rPr>
          <w:rFonts w:ascii="Times New Roman" w:eastAsia="Times New Roman" w:hAnsi="Times New Roman"/>
          <w:sz w:val="28"/>
          <w:szCs w:val="28"/>
          <w:lang w:eastAsia="ru-RU"/>
        </w:rPr>
        <w:t>в 2020 году</w:t>
      </w:r>
      <w:r w:rsidR="009258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осуществлении регионального государственного стро</w:t>
      </w:r>
      <w:r w:rsidR="009258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258A9">
        <w:rPr>
          <w:rFonts w:ascii="Times New Roman" w:eastAsia="Times New Roman" w:hAnsi="Times New Roman"/>
          <w:sz w:val="28"/>
          <w:szCs w:val="28"/>
          <w:lang w:eastAsia="ru-RU"/>
        </w:rPr>
        <w:t>тельного надзора</w:t>
      </w:r>
      <w:r w:rsidR="006278BF" w:rsidRPr="0098318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495"/>
        <w:gridCol w:w="850"/>
        <w:gridCol w:w="1276"/>
        <w:gridCol w:w="1276"/>
        <w:gridCol w:w="1276"/>
      </w:tblGrid>
      <w:tr w:rsidR="00C928DE" w:rsidRPr="004F6727" w:rsidTr="00FE70FF">
        <w:tc>
          <w:tcPr>
            <w:tcW w:w="5495" w:type="dxa"/>
            <w:tcBorders>
              <w:bottom w:val="single" w:sz="4" w:space="0" w:color="auto"/>
            </w:tcBorders>
          </w:tcPr>
          <w:p w:rsidR="00C928DE" w:rsidRPr="00D5545A" w:rsidRDefault="00C928DE" w:rsidP="00AB6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5545A"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28DE" w:rsidRPr="00D5545A" w:rsidRDefault="00C928DE" w:rsidP="00AB6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D5545A">
              <w:rPr>
                <w:rFonts w:ascii="Times New Roman" w:eastAsia="Times New Roman" w:hAnsi="Times New Roman"/>
                <w:b/>
                <w:lang w:eastAsia="ru-RU"/>
              </w:rPr>
              <w:t>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28DE" w:rsidRPr="00D5545A" w:rsidRDefault="00C928DE" w:rsidP="00FE70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2020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28DE" w:rsidRDefault="00FE70FF" w:rsidP="00D96C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28DE" w:rsidRDefault="00FE70FF" w:rsidP="00D96C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2018</w:t>
            </w:r>
          </w:p>
        </w:tc>
      </w:tr>
      <w:tr w:rsidR="00FE70FF" w:rsidRPr="004F6727" w:rsidTr="00FE70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FF" w:rsidRPr="00D5545A" w:rsidRDefault="00FE70FF" w:rsidP="006E2A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Осуществление надзора по части 1 ст.54 Градостро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тельного кодекса РФ (объектов)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FF" w:rsidRPr="00D5545A" w:rsidRDefault="00FE70FF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545A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FF" w:rsidRPr="00D5545A" w:rsidRDefault="00FE70FF" w:rsidP="00B71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1 649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1 554</w:t>
            </w:r>
          </w:p>
        </w:tc>
      </w:tr>
      <w:tr w:rsidR="00D736E7" w:rsidRPr="004F6727" w:rsidTr="00D736E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E7" w:rsidRPr="006D549D" w:rsidRDefault="00D736E7" w:rsidP="006E2A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9258A9">
              <w:rPr>
                <w:rFonts w:ascii="Times New Roman" w:eastAsia="Times New Roman" w:hAnsi="Times New Roman"/>
                <w:lang w:eastAsia="ru-RU"/>
              </w:rPr>
              <w:t>Осуществление надзора по части 1</w:t>
            </w:r>
            <w:r>
              <w:rPr>
                <w:rFonts w:ascii="Times New Roman" w:eastAsia="Times New Roman" w:hAnsi="Times New Roman"/>
                <w:lang w:eastAsia="ru-RU"/>
              </w:rPr>
              <w:t>.1</w:t>
            </w:r>
            <w:r w:rsidRPr="009258A9">
              <w:rPr>
                <w:rFonts w:ascii="Times New Roman" w:eastAsia="Times New Roman" w:hAnsi="Times New Roman"/>
                <w:lang w:eastAsia="ru-RU"/>
              </w:rPr>
              <w:t xml:space="preserve"> ст.54 </w:t>
            </w:r>
            <w:r w:rsidRPr="006E2A73">
              <w:rPr>
                <w:rFonts w:ascii="Times New Roman" w:eastAsia="Times New Roman" w:hAnsi="Times New Roman"/>
                <w:lang w:eastAsia="ru-RU"/>
              </w:rPr>
              <w:t>Градостро</w:t>
            </w:r>
            <w:r w:rsidRPr="006E2A7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E2A73">
              <w:rPr>
                <w:rFonts w:ascii="Times New Roman" w:eastAsia="Times New Roman" w:hAnsi="Times New Roman"/>
                <w:lang w:eastAsia="ru-RU"/>
              </w:rPr>
              <w:t>тельного кодекса РФ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(объектов)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E7" w:rsidRPr="006D549D" w:rsidRDefault="00D736E7" w:rsidP="006F0F5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E7" w:rsidRDefault="00D736E7" w:rsidP="006D5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E7" w:rsidRPr="00D736E7" w:rsidRDefault="00D736E7" w:rsidP="00D7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36E7">
              <w:rPr>
                <w:rFonts w:ascii="Times New Roman" w:eastAsia="Times New Roman" w:hAnsi="Times New Roman"/>
                <w:lang w:eastAsia="ru-RU"/>
              </w:rPr>
              <w:t>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E7" w:rsidRPr="00D736E7" w:rsidRDefault="00D736E7" w:rsidP="00D7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36E7"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</w:tr>
      <w:tr w:rsidR="00FE70FF" w:rsidRPr="00FE70FF" w:rsidTr="00FE70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FF" w:rsidRPr="006D549D" w:rsidRDefault="00FE70FF" w:rsidP="009875F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6D549D">
              <w:rPr>
                <w:rFonts w:ascii="Times New Roman" w:eastAsia="Times New Roman" w:hAnsi="Times New Roman"/>
                <w:lang w:eastAsia="ru-RU"/>
              </w:rPr>
              <w:t>Проведено проверок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FF" w:rsidRPr="006D549D" w:rsidRDefault="00FE70FF" w:rsidP="006F0F53">
            <w:pPr>
              <w:spacing w:after="0"/>
              <w:jc w:val="center"/>
            </w:pPr>
            <w:r w:rsidRPr="006D549D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FF" w:rsidRPr="004F6727" w:rsidRDefault="00FE70FF" w:rsidP="006D5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3 503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3 435</w:t>
            </w:r>
          </w:p>
        </w:tc>
      </w:tr>
      <w:tr w:rsidR="00FE70FF" w:rsidRPr="004F6727" w:rsidTr="00FE70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70FF" w:rsidRPr="006D549D" w:rsidRDefault="00FE70FF" w:rsidP="00944DAA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6D549D">
              <w:rPr>
                <w:rFonts w:ascii="Times New Roman" w:eastAsia="Times New Roman" w:hAnsi="Times New Roman"/>
                <w:lang w:eastAsia="ru-RU"/>
              </w:rPr>
              <w:t xml:space="preserve"> в том числе:       по программам проверок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70FF" w:rsidRPr="006D549D" w:rsidRDefault="00FE70FF" w:rsidP="006F0F53">
            <w:pPr>
              <w:spacing w:after="0"/>
              <w:jc w:val="center"/>
            </w:pPr>
            <w:r w:rsidRPr="006D549D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70FF" w:rsidRPr="004F6727" w:rsidRDefault="00FE70FF" w:rsidP="00B71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6D549D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D549D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 xml:space="preserve"> 2 285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 xml:space="preserve"> 2 151   </w:t>
            </w:r>
          </w:p>
        </w:tc>
      </w:tr>
      <w:tr w:rsidR="00FE70FF" w:rsidRPr="004F6727" w:rsidTr="00FE70FF">
        <w:tc>
          <w:tcPr>
            <w:tcW w:w="5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70FF" w:rsidRPr="006D549D" w:rsidRDefault="00FE70FF" w:rsidP="003559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по </w:t>
            </w:r>
            <w:r w:rsidRPr="006D549D">
              <w:rPr>
                <w:rFonts w:ascii="Times New Roman" w:eastAsia="Times New Roman" w:hAnsi="Times New Roman"/>
                <w:lang w:eastAsia="ru-RU"/>
              </w:rPr>
              <w:t>контрол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  <w:r w:rsidRPr="006D549D">
              <w:rPr>
                <w:rFonts w:ascii="Times New Roman" w:eastAsia="Times New Roman" w:hAnsi="Times New Roman"/>
                <w:lang w:eastAsia="ru-RU"/>
              </w:rPr>
              <w:t xml:space="preserve"> исполнения предписаний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70FF" w:rsidRPr="006D549D" w:rsidRDefault="00FE70FF" w:rsidP="006F0F53">
            <w:pPr>
              <w:spacing w:after="0"/>
              <w:jc w:val="center"/>
            </w:pPr>
            <w:r w:rsidRPr="006D549D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70FF" w:rsidRPr="006D549D" w:rsidRDefault="00FE70FF" w:rsidP="00FF1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431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742</w:t>
            </w:r>
            <w:r w:rsidRPr="00FE70FF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1 205</w:t>
            </w:r>
            <w:r w:rsidRPr="00FE70FF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</w:tr>
      <w:tr w:rsidR="00FE70FF" w:rsidRPr="004F6727" w:rsidTr="00FE70FF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:rsidR="00FE70FF" w:rsidRPr="006D549D" w:rsidRDefault="00FE70FF" w:rsidP="003559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</w:t>
            </w:r>
            <w:r w:rsidRPr="006D549D">
              <w:rPr>
                <w:rFonts w:ascii="Times New Roman" w:eastAsia="Times New Roman" w:hAnsi="Times New Roman"/>
                <w:lang w:eastAsia="ru-RU"/>
              </w:rPr>
              <w:t xml:space="preserve">по основаниям ч. 1.1 ст. 54 </w:t>
            </w:r>
            <w:proofErr w:type="spellStart"/>
            <w:r w:rsidRPr="006D549D">
              <w:rPr>
                <w:rFonts w:ascii="Times New Roman" w:eastAsia="Times New Roman" w:hAnsi="Times New Roman"/>
                <w:lang w:eastAsia="ru-RU"/>
              </w:rPr>
              <w:t>ГрК</w:t>
            </w:r>
            <w:proofErr w:type="spellEnd"/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FE70FF" w:rsidRPr="006D549D" w:rsidRDefault="00FE70FF" w:rsidP="006F0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</w:t>
            </w:r>
            <w:r w:rsidRPr="006D549D">
              <w:rPr>
                <w:rFonts w:ascii="Times New Roman" w:eastAsia="Times New Roman" w:hAnsi="Times New Roman"/>
                <w:lang w:eastAsia="ru-RU"/>
              </w:rPr>
              <w:t>т.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FE70FF" w:rsidRPr="006D549D" w:rsidRDefault="00FE70FF" w:rsidP="00FF1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464</w:t>
            </w:r>
            <w:r w:rsidRPr="00FE70FF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</w:t>
            </w:r>
            <w:r w:rsidRPr="00FE70FF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</w:tr>
      <w:tr w:rsidR="00FE70FF" w:rsidRPr="004F6727" w:rsidTr="00FE70FF">
        <w:tc>
          <w:tcPr>
            <w:tcW w:w="5495" w:type="dxa"/>
            <w:tcBorders>
              <w:top w:val="dashed" w:sz="4" w:space="0" w:color="auto"/>
              <w:bottom w:val="single" w:sz="4" w:space="0" w:color="auto"/>
            </w:tcBorders>
          </w:tcPr>
          <w:p w:rsidR="00FE70FF" w:rsidRPr="006D549D" w:rsidRDefault="00FE70FF" w:rsidP="003559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</w:t>
            </w:r>
            <w:r w:rsidRPr="006D549D">
              <w:rPr>
                <w:rFonts w:ascii="Times New Roman" w:eastAsia="Times New Roman" w:hAnsi="Times New Roman"/>
                <w:lang w:eastAsia="ru-RU"/>
              </w:rPr>
              <w:t>по иным основаниям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FE70FF" w:rsidRPr="006D549D" w:rsidRDefault="00FE70FF" w:rsidP="006F0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549D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FE70FF" w:rsidRPr="006D549D" w:rsidRDefault="00FE70FF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 xml:space="preserve"> 12   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 xml:space="preserve"> 4   </w:t>
            </w:r>
          </w:p>
        </w:tc>
      </w:tr>
      <w:tr w:rsidR="00FE70FF" w:rsidRPr="004F6727" w:rsidTr="00FE70FF">
        <w:tc>
          <w:tcPr>
            <w:tcW w:w="5495" w:type="dxa"/>
            <w:tcBorders>
              <w:top w:val="single" w:sz="4" w:space="0" w:color="auto"/>
              <w:bottom w:val="dashed" w:sz="4" w:space="0" w:color="auto"/>
            </w:tcBorders>
          </w:tcPr>
          <w:p w:rsidR="00FE70FF" w:rsidRPr="006D549D" w:rsidRDefault="00FE70FF" w:rsidP="006E2A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Общее количество проверок, по результатам которых выявлены нарушения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FE70FF" w:rsidRPr="006D549D" w:rsidRDefault="00FE70FF" w:rsidP="006F0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DB5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</w:tcPr>
          <w:p w:rsidR="00FE70FF" w:rsidRPr="006D549D" w:rsidRDefault="00FE70FF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1080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1279</w:t>
            </w:r>
          </w:p>
        </w:tc>
      </w:tr>
      <w:tr w:rsidR="00FE70FF" w:rsidRPr="004F6727" w:rsidTr="00FE70FF">
        <w:tc>
          <w:tcPr>
            <w:tcW w:w="5495" w:type="dxa"/>
            <w:tcBorders>
              <w:top w:val="single" w:sz="4" w:space="0" w:color="auto"/>
              <w:bottom w:val="dashed" w:sz="4" w:space="0" w:color="auto"/>
            </w:tcBorders>
          </w:tcPr>
          <w:p w:rsidR="00FE70FF" w:rsidRPr="006D549D" w:rsidRDefault="00FE70FF" w:rsidP="006E2A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Выявлено нарушений по результатам проверок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FE70FF" w:rsidRPr="006D549D" w:rsidRDefault="00FE70FF" w:rsidP="00874D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DB5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</w:tcPr>
          <w:p w:rsidR="00FE70FF" w:rsidRPr="006D549D" w:rsidRDefault="00FE70FF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1519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2610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3870</w:t>
            </w:r>
          </w:p>
        </w:tc>
      </w:tr>
      <w:tr w:rsidR="00FE70FF" w:rsidRPr="004F6727" w:rsidTr="00FE70FF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E70FF" w:rsidRDefault="00FE70FF" w:rsidP="006E2A7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Выдано предписаний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E70FF" w:rsidRPr="006D549D" w:rsidRDefault="00FE70FF" w:rsidP="00874D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DB5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70FF" w:rsidRPr="006D549D" w:rsidRDefault="00FE70FF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781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1209</w:t>
            </w:r>
          </w:p>
        </w:tc>
      </w:tr>
      <w:tr w:rsidR="00FE70FF" w:rsidRPr="004F6727" w:rsidTr="00FE70FF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Сумма наложенных штрафов: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E70FF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FE70FF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FE70FF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FE70F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16 212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17 535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24 390</w:t>
            </w:r>
          </w:p>
        </w:tc>
      </w:tr>
      <w:tr w:rsidR="00C928DE" w:rsidRPr="004F6727" w:rsidTr="00FE70FF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C928DE" w:rsidRPr="00D5545A" w:rsidRDefault="00C928DE" w:rsidP="000957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D5545A">
              <w:rPr>
                <w:rFonts w:ascii="Times New Roman" w:eastAsia="Times New Roman" w:hAnsi="Times New Roman"/>
                <w:lang w:eastAsia="ru-RU"/>
              </w:rPr>
              <w:t>Выдано заключений о соответствии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28DE" w:rsidRPr="00D5545A" w:rsidRDefault="00C928DE" w:rsidP="00095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545A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28DE" w:rsidRPr="00D5545A" w:rsidRDefault="00C928DE" w:rsidP="00095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545A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28DE" w:rsidRPr="00D5545A" w:rsidRDefault="00FE70FF" w:rsidP="00095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28DE" w:rsidRPr="00D5545A" w:rsidRDefault="00FE70FF" w:rsidP="00095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355</w:t>
            </w:r>
          </w:p>
        </w:tc>
      </w:tr>
      <w:tr w:rsidR="00FE70FF" w:rsidRPr="004F6727" w:rsidTr="00FE70FF">
        <w:tc>
          <w:tcPr>
            <w:tcW w:w="5495" w:type="dxa"/>
            <w:tcBorders>
              <w:top w:val="single" w:sz="4" w:space="0" w:color="auto"/>
              <w:bottom w:val="nil"/>
            </w:tcBorders>
          </w:tcPr>
          <w:p w:rsidR="00FE70FF" w:rsidRPr="00FE70FF" w:rsidRDefault="00FE70FF" w:rsidP="00FE70F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в том числе  по жилым домам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FE70FF" w:rsidRPr="00FE70FF" w:rsidRDefault="00FE70FF" w:rsidP="00FE70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FE70FF" w:rsidRPr="00FE70FF" w:rsidRDefault="00FE70FF" w:rsidP="00FE70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FE70FF" w:rsidRPr="00FE70FF" w:rsidRDefault="00FE70FF" w:rsidP="00FE70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FE70FF" w:rsidRPr="00FE70FF" w:rsidRDefault="00FE70FF" w:rsidP="00FE70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113</w:t>
            </w:r>
          </w:p>
        </w:tc>
      </w:tr>
      <w:tr w:rsidR="00FE70FF" w:rsidRPr="004F6727" w:rsidTr="007F0EB3">
        <w:tc>
          <w:tcPr>
            <w:tcW w:w="5495" w:type="dxa"/>
            <w:tcBorders>
              <w:top w:val="nil"/>
              <w:bottom w:val="single" w:sz="4" w:space="0" w:color="auto"/>
            </w:tcBorders>
          </w:tcPr>
          <w:p w:rsidR="00FE70FF" w:rsidRPr="00FE70FF" w:rsidRDefault="00FE70FF" w:rsidP="00FE70F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общ</w:t>
            </w:r>
            <w:r>
              <w:rPr>
                <w:rFonts w:ascii="Times New Roman" w:eastAsia="Times New Roman" w:hAnsi="Times New Roman"/>
                <w:lang w:eastAsia="ru-RU"/>
              </w:rPr>
              <w:t>ей</w:t>
            </w:r>
            <w:r w:rsidRPr="00FE70FF">
              <w:rPr>
                <w:rFonts w:ascii="Times New Roman" w:eastAsia="Times New Roman" w:hAnsi="Times New Roman"/>
                <w:lang w:eastAsia="ru-RU"/>
              </w:rPr>
              <w:t xml:space="preserve"> площадь</w:t>
            </w:r>
            <w:r>
              <w:rPr>
                <w:rFonts w:ascii="Times New Roman" w:eastAsia="Times New Roman" w:hAnsi="Times New Roman"/>
                <w:lang w:eastAsia="ru-RU"/>
              </w:rPr>
              <w:t>ю квартир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FE70FF" w:rsidRPr="00FE70FF" w:rsidRDefault="00FE70FF" w:rsidP="00FE70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FE70FF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  <w:r w:rsidRPr="00FE70F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FE70FF" w:rsidRPr="00FE70FF" w:rsidRDefault="00FE70FF" w:rsidP="00FE70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1 406,9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FE70FF" w:rsidRPr="00FE70FF" w:rsidRDefault="00FE70FF" w:rsidP="00FE70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1 266,2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FE70FF" w:rsidRPr="00FE70FF" w:rsidRDefault="00FE70FF" w:rsidP="00FE70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70FF">
              <w:rPr>
                <w:rFonts w:ascii="Times New Roman" w:eastAsia="Times New Roman" w:hAnsi="Times New Roman"/>
                <w:lang w:eastAsia="ru-RU"/>
              </w:rPr>
              <w:t>1 013,8</w:t>
            </w:r>
          </w:p>
        </w:tc>
      </w:tr>
    </w:tbl>
    <w:p w:rsidR="00A85E7D" w:rsidRPr="00A85E7D" w:rsidRDefault="00B7449A" w:rsidP="00A85E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E7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05FBD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905FBD" w:rsidRPr="00905FBD">
        <w:rPr>
          <w:rFonts w:ascii="Times New Roman" w:eastAsia="Times New Roman" w:hAnsi="Times New Roman"/>
          <w:sz w:val="28"/>
          <w:szCs w:val="28"/>
          <w:lang w:eastAsia="ru-RU"/>
        </w:rPr>
        <w:t>Осуществление регионального государственного строительного надзора в 2020 году характеризовалось ограничениями</w:t>
      </w:r>
      <w:r w:rsidR="00905FBD">
        <w:rPr>
          <w:rFonts w:ascii="Times New Roman" w:eastAsia="Times New Roman" w:hAnsi="Times New Roman"/>
          <w:sz w:val="28"/>
          <w:szCs w:val="28"/>
          <w:lang w:eastAsia="ru-RU"/>
        </w:rPr>
        <w:t xml:space="preserve">, связанными с пандемией </w:t>
      </w:r>
      <w:proofErr w:type="spellStart"/>
      <w:r w:rsidR="00905FBD">
        <w:rPr>
          <w:rFonts w:ascii="Times New Roman" w:eastAsia="Times New Roman" w:hAnsi="Times New Roman"/>
          <w:sz w:val="28"/>
          <w:szCs w:val="28"/>
          <w:lang w:eastAsia="ru-RU"/>
        </w:rPr>
        <w:t>корон</w:t>
      </w:r>
      <w:r w:rsidR="00905F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05FBD">
        <w:rPr>
          <w:rFonts w:ascii="Times New Roman" w:eastAsia="Times New Roman" w:hAnsi="Times New Roman"/>
          <w:sz w:val="28"/>
          <w:szCs w:val="28"/>
          <w:lang w:eastAsia="ru-RU"/>
        </w:rPr>
        <w:t>вирусной</w:t>
      </w:r>
      <w:proofErr w:type="spellEnd"/>
      <w:r w:rsidR="00905FB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инспекции.</w:t>
      </w:r>
    </w:p>
    <w:p w:rsidR="00B620F0" w:rsidRPr="00D073EE" w:rsidRDefault="00905FBD" w:rsidP="00905FBD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первую очередь это коснулось</w:t>
      </w:r>
      <w:r w:rsidRPr="00905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431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ограничения </w:t>
      </w:r>
      <w:r w:rsidRPr="00905FB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</w:t>
      </w:r>
      <w:r w:rsidR="00D073E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905FB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проверок, вплоть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905FBD">
        <w:rPr>
          <w:rFonts w:ascii="Times New Roman" w:eastAsia="Times New Roman" w:hAnsi="Times New Roman"/>
          <w:sz w:val="28"/>
          <w:szCs w:val="28"/>
          <w:lang w:eastAsia="ru-RU"/>
        </w:rPr>
        <w:t>отмены</w:t>
      </w:r>
      <w:r w:rsidR="00D073EE">
        <w:rPr>
          <w:rFonts w:ascii="Times New Roman" w:eastAsia="Times New Roman" w:hAnsi="Times New Roman"/>
          <w:sz w:val="28"/>
          <w:szCs w:val="28"/>
          <w:lang w:eastAsia="ru-RU"/>
        </w:rPr>
        <w:t xml:space="preserve"> (в апреле-мае 2020 года)</w:t>
      </w:r>
      <w:r w:rsidRPr="00905FB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продлением сроков </w:t>
      </w:r>
      <w:r w:rsidRPr="00B5743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5743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7431">
        <w:rPr>
          <w:rFonts w:ascii="Times New Roman" w:eastAsia="Times New Roman" w:hAnsi="Times New Roman"/>
          <w:sz w:val="28"/>
          <w:szCs w:val="28"/>
          <w:lang w:eastAsia="ru-RU"/>
        </w:rPr>
        <w:t>полнения предписаний</w:t>
      </w:r>
      <w:r w:rsidRPr="00905FBD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иными</w:t>
      </w:r>
      <w:r w:rsidR="00D073EE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ограничениями</w:t>
      </w:r>
      <w:r w:rsidRPr="00905FB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предусмотренными </w:t>
      </w:r>
      <w:r w:rsidRPr="00D073EE">
        <w:rPr>
          <w:rFonts w:ascii="Times New Roman" w:eastAsia="Times New Roman" w:hAnsi="Times New Roman"/>
          <w:sz w:val="28"/>
          <w:szCs w:val="28"/>
          <w:lang w:eastAsia="ru-RU"/>
        </w:rPr>
        <w:t>Постано</w:t>
      </w:r>
      <w:r w:rsidRPr="00D073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073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лени</w:t>
      </w:r>
      <w:r w:rsidR="00D073EE" w:rsidRPr="00D073EE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D073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РФ </w:t>
      </w:r>
      <w:r w:rsidR="00D073EE"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D073EE" w:rsidRPr="00D073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ПП РФ</w:t>
      </w:r>
      <w:r w:rsidR="00D073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073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 03.04.2020 № 438</w:t>
      </w:r>
      <w:r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«Об особенностях  </w:t>
      </w:r>
      <w:proofErr w:type="gramStart"/>
      <w:r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proofErr w:type="gramEnd"/>
      <w:r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</w:t>
      </w:r>
      <w:proofErr w:type="gramStart"/>
      <w:r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>и индивидуальных предприн</w:t>
      </w:r>
      <w:r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мателей», </w:t>
      </w:r>
      <w:r w:rsidR="00D073EE" w:rsidRPr="00D073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ПП РФ</w:t>
      </w:r>
      <w:r w:rsidRPr="00D073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от 03.04.2020 № 440</w:t>
      </w:r>
      <w:r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«О продлении действия разрешений и иных особенностях в отношении разрешительной деятельности в 2020 году», а также </w:t>
      </w:r>
      <w:r w:rsidRPr="00D073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поручением Председателя Правительства </w:t>
      </w:r>
      <w:r w:rsidR="00D073EE" w:rsidRPr="00D073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РФ</w:t>
      </w:r>
      <w:r w:rsidRPr="00D073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D073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Мишустина</w:t>
      </w:r>
      <w:proofErr w:type="spellEnd"/>
      <w:r w:rsidRPr="00D073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М.В. от 18.03.2020 № ММ-П36-1945</w:t>
      </w:r>
      <w:r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 необходимости приостановления до 01.05.2020 назначения проверок, в отношении которых применяются положения Фед</w:t>
      </w:r>
      <w:r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>рального закона от 26.12.2008 № 294-ФЗ «О защите прав юридических лиц и и</w:t>
      </w:r>
      <w:r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>н</w:t>
      </w:r>
      <w:r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>дивидуальных предпринимателей при</w:t>
      </w:r>
      <w:proofErr w:type="gramEnd"/>
      <w:r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>осуществлении</w:t>
      </w:r>
      <w:proofErr w:type="gramEnd"/>
      <w:r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государственного ко</w:t>
      </w:r>
      <w:r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>н</w:t>
      </w:r>
      <w:r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>троля (надзора) и муниципального контроля»</w:t>
      </w:r>
      <w:r w:rsidR="00D073EE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B57431"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D073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CC5094" w:rsidRDefault="0095364B" w:rsidP="003559C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bCs/>
          <w:iCs/>
          <w:sz w:val="28"/>
          <w:szCs w:val="28"/>
        </w:rPr>
        <w:t>В</w:t>
      </w:r>
      <w:r w:rsidR="00D073EE">
        <w:rPr>
          <w:rFonts w:ascii="Times New Roman" w:hAnsi="Times New Roman"/>
          <w:bCs/>
          <w:iCs/>
          <w:sz w:val="28"/>
          <w:szCs w:val="28"/>
        </w:rPr>
        <w:t>следстви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="00D073EE">
        <w:rPr>
          <w:rFonts w:ascii="Times New Roman" w:hAnsi="Times New Roman"/>
          <w:bCs/>
          <w:iCs/>
          <w:sz w:val="28"/>
          <w:szCs w:val="28"/>
        </w:rPr>
        <w:t xml:space="preserve"> этого, существенно снизилось количество проведенных пров</w:t>
      </w:r>
      <w:r w:rsidR="00D073EE">
        <w:rPr>
          <w:rFonts w:ascii="Times New Roman" w:hAnsi="Times New Roman"/>
          <w:bCs/>
          <w:iCs/>
          <w:sz w:val="28"/>
          <w:szCs w:val="28"/>
        </w:rPr>
        <w:t>е</w:t>
      </w:r>
      <w:r w:rsidR="00D073EE">
        <w:rPr>
          <w:rFonts w:ascii="Times New Roman" w:hAnsi="Times New Roman"/>
          <w:bCs/>
          <w:iCs/>
          <w:sz w:val="28"/>
          <w:szCs w:val="28"/>
        </w:rPr>
        <w:t>рок исполнения выданных предписаний, и как результат – снижение количества выявленных нарушений.</w:t>
      </w:r>
      <w:r w:rsidRPr="0095364B">
        <w:t xml:space="preserve"> </w:t>
      </w:r>
    </w:p>
    <w:p w:rsidR="00D073EE" w:rsidRDefault="00D073EE" w:rsidP="00355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 этом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,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стоит отметить, что количество проведенных проверок по пр</w:t>
      </w:r>
      <w:r>
        <w:rPr>
          <w:rFonts w:ascii="Times New Roman" w:hAnsi="Times New Roman"/>
          <w:bCs/>
          <w:iCs/>
          <w:sz w:val="28"/>
          <w:szCs w:val="28"/>
        </w:rPr>
        <w:t>о</w:t>
      </w:r>
      <w:r>
        <w:rPr>
          <w:rFonts w:ascii="Times New Roman" w:hAnsi="Times New Roman"/>
          <w:bCs/>
          <w:iCs/>
          <w:sz w:val="28"/>
          <w:szCs w:val="28"/>
        </w:rPr>
        <w:t>граммам проверок объектов капитального строительства, явл</w:t>
      </w:r>
      <w:r>
        <w:rPr>
          <w:rFonts w:ascii="Times New Roman" w:hAnsi="Times New Roman"/>
          <w:bCs/>
          <w:iCs/>
          <w:sz w:val="28"/>
          <w:szCs w:val="28"/>
        </w:rPr>
        <w:t>я</w:t>
      </w:r>
      <w:r>
        <w:rPr>
          <w:rFonts w:ascii="Times New Roman" w:hAnsi="Times New Roman"/>
          <w:bCs/>
          <w:iCs/>
          <w:sz w:val="28"/>
          <w:szCs w:val="28"/>
        </w:rPr>
        <w:t>ющихся основой осуществления государственного строительного надзора на протяжении стро</w:t>
      </w:r>
      <w:r>
        <w:rPr>
          <w:rFonts w:ascii="Times New Roman" w:hAnsi="Times New Roman"/>
          <w:bCs/>
          <w:iCs/>
          <w:sz w:val="28"/>
          <w:szCs w:val="28"/>
        </w:rPr>
        <w:t>и</w:t>
      </w:r>
      <w:r>
        <w:rPr>
          <w:rFonts w:ascii="Times New Roman" w:hAnsi="Times New Roman"/>
          <w:bCs/>
          <w:iCs/>
          <w:sz w:val="28"/>
          <w:szCs w:val="28"/>
        </w:rPr>
        <w:t>тельства, реконст</w:t>
      </w:r>
      <w:r w:rsidR="00F67C16">
        <w:rPr>
          <w:rFonts w:ascii="Times New Roman" w:hAnsi="Times New Roman"/>
          <w:bCs/>
          <w:iCs/>
          <w:sz w:val="28"/>
          <w:szCs w:val="28"/>
        </w:rPr>
        <w:t>р</w:t>
      </w:r>
      <w:r>
        <w:rPr>
          <w:rFonts w:ascii="Times New Roman" w:hAnsi="Times New Roman"/>
          <w:bCs/>
          <w:iCs/>
          <w:sz w:val="28"/>
          <w:szCs w:val="28"/>
        </w:rPr>
        <w:t>укции</w:t>
      </w:r>
      <w:r w:rsidR="00F67C16">
        <w:rPr>
          <w:rFonts w:ascii="Times New Roman" w:hAnsi="Times New Roman"/>
          <w:bCs/>
          <w:iCs/>
          <w:sz w:val="28"/>
          <w:szCs w:val="28"/>
        </w:rPr>
        <w:t xml:space="preserve"> объектов, </w:t>
      </w:r>
      <w:r w:rsidR="00B91A26">
        <w:rPr>
          <w:rFonts w:ascii="Times New Roman" w:hAnsi="Times New Roman"/>
          <w:bCs/>
          <w:iCs/>
          <w:sz w:val="28"/>
          <w:szCs w:val="28"/>
        </w:rPr>
        <w:t xml:space="preserve">уже несколько лет, </w:t>
      </w:r>
      <w:r w:rsidR="00F67C16">
        <w:rPr>
          <w:rFonts w:ascii="Times New Roman" w:hAnsi="Times New Roman"/>
          <w:bCs/>
          <w:iCs/>
          <w:sz w:val="28"/>
          <w:szCs w:val="28"/>
        </w:rPr>
        <w:t>практ</w:t>
      </w:r>
      <w:r w:rsidR="00F67C16">
        <w:rPr>
          <w:rFonts w:ascii="Times New Roman" w:hAnsi="Times New Roman"/>
          <w:bCs/>
          <w:iCs/>
          <w:sz w:val="28"/>
          <w:szCs w:val="28"/>
        </w:rPr>
        <w:t>и</w:t>
      </w:r>
      <w:r w:rsidR="00F67C16">
        <w:rPr>
          <w:rFonts w:ascii="Times New Roman" w:hAnsi="Times New Roman"/>
          <w:bCs/>
          <w:iCs/>
          <w:sz w:val="28"/>
          <w:szCs w:val="28"/>
        </w:rPr>
        <w:t xml:space="preserve">чески остается на </w:t>
      </w:r>
      <w:r w:rsidR="00B91A26">
        <w:rPr>
          <w:rFonts w:ascii="Times New Roman" w:hAnsi="Times New Roman"/>
          <w:bCs/>
          <w:iCs/>
          <w:sz w:val="28"/>
          <w:szCs w:val="28"/>
        </w:rPr>
        <w:t>одном</w:t>
      </w:r>
      <w:r w:rsidR="00F67C16">
        <w:rPr>
          <w:rFonts w:ascii="Times New Roman" w:hAnsi="Times New Roman"/>
          <w:bCs/>
          <w:iCs/>
          <w:sz w:val="28"/>
          <w:szCs w:val="28"/>
        </w:rPr>
        <w:t xml:space="preserve"> уровне, в районе 2200-2300 проверок в год. Это свидетельствует о том, что инспекция, даже в сложный 2020 год, обеспечивала полноту выполнения своих надзорных функций.</w:t>
      </w:r>
    </w:p>
    <w:p w:rsidR="00905FBD" w:rsidRDefault="00794CB0" w:rsidP="009A1D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Существенное снижение количества объектов и проведенных по ним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верок, по которым осуществлялся</w:t>
      </w:r>
      <w:r w:rsidR="00F20DE1" w:rsidRPr="00F20DE1">
        <w:t xml:space="preserve"> </w:t>
      </w:r>
      <w:r w:rsidR="00F20DE1" w:rsidRPr="00F20DE1">
        <w:rPr>
          <w:rFonts w:ascii="Times New Roman" w:eastAsia="Times New Roman" w:hAnsi="Times New Roman"/>
          <w:sz w:val="28"/>
          <w:szCs w:val="28"/>
          <w:lang w:eastAsia="ru-RU"/>
        </w:rPr>
        <w:t>региональный государственный строительный надзор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</w:t>
      </w:r>
      <w:r w:rsidRPr="00794CB0">
        <w:rPr>
          <w:rFonts w:ascii="Times New Roman" w:eastAsia="Times New Roman" w:hAnsi="Times New Roman"/>
          <w:sz w:val="28"/>
          <w:szCs w:val="28"/>
          <w:lang w:eastAsia="ru-RU"/>
        </w:rPr>
        <w:t>ствии с ч. 1.1 ст. 54 Кодекса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напрямую связано с пандемией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ронавирусной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инфекции.</w:t>
      </w:r>
    </w:p>
    <w:p w:rsidR="00794CB0" w:rsidRDefault="00794CB0" w:rsidP="009A1D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всех сложностях, испытанных строительной отраслью в 2020 году, стоит отметить высокую активность жилищного строительства. И особенно – многоквартирных жилых домов. Это видно из количества выданных </w:t>
      </w:r>
      <w:r w:rsidR="00C746E9">
        <w:rPr>
          <w:rFonts w:ascii="Times New Roman" w:eastAsia="Times New Roman" w:hAnsi="Times New Roman"/>
          <w:sz w:val="28"/>
          <w:szCs w:val="28"/>
          <w:lang w:eastAsia="ru-RU"/>
        </w:rPr>
        <w:t>инспекцией заключений о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2020 году в сравнении с предыдущими годами.</w:t>
      </w:r>
      <w:r w:rsidR="00C746E9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Строительство многоквартирных многоэтажных жилых домов обычно ведется высокими темпами в короткие сроки. Такие объекты имеют внушительные ра</w:t>
      </w:r>
      <w:r w:rsidR="00C746E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C746E9">
        <w:rPr>
          <w:rFonts w:ascii="Times New Roman" w:eastAsia="Times New Roman" w:hAnsi="Times New Roman"/>
          <w:sz w:val="28"/>
          <w:szCs w:val="28"/>
          <w:lang w:eastAsia="ru-RU"/>
        </w:rPr>
        <w:t>меры.</w:t>
      </w:r>
      <w:r w:rsidR="00FC5C56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Следовательно, интенсивность работы инспекции в прошлом году по</w:t>
      </w:r>
      <w:r w:rsidR="00FC5C5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C5C56">
        <w:rPr>
          <w:rFonts w:ascii="Times New Roman" w:eastAsia="Times New Roman" w:hAnsi="Times New Roman"/>
          <w:sz w:val="28"/>
          <w:szCs w:val="28"/>
          <w:lang w:eastAsia="ru-RU"/>
        </w:rPr>
        <w:t>держивалась на высоком уровне.</w:t>
      </w:r>
    </w:p>
    <w:p w:rsidR="000E07A1" w:rsidRDefault="00B349CE" w:rsidP="009A1D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C56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Заключения о соответствии</w:t>
      </w: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>, или решения об отказе в выдаче такого з</w:t>
      </w: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ключения, </w:t>
      </w:r>
      <w:r w:rsidR="004D1863" w:rsidRPr="0082115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DB2DA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D1863" w:rsidRPr="0082115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Правительства РФ от 01.02.2006 № 54 «О государственном строительном надзоре в Российской Федерации», </w:t>
      </w: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>выд</w:t>
      </w: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>ются застройщику или заказчику в течение 10 рабочих дней с даты их обращ</w:t>
      </w: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в  орган государственного строительного надзора за выдачей заключения. </w:t>
      </w:r>
    </w:p>
    <w:p w:rsidR="00A269EA" w:rsidRDefault="00B349CE" w:rsidP="00A269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>Фактически, инспекция в 20</w:t>
      </w:r>
      <w:r w:rsidR="00C36B0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трат</w:t>
      </w:r>
      <w:r w:rsidR="00095789">
        <w:rPr>
          <w:rFonts w:ascii="Times New Roman" w:eastAsia="Times New Roman" w:hAnsi="Times New Roman"/>
          <w:sz w:val="28"/>
          <w:szCs w:val="28"/>
          <w:lang w:eastAsia="ru-RU"/>
        </w:rPr>
        <w:t>ила на эти процедуры в среднем</w:t>
      </w: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0C417B" w:rsidRPr="008211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95789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</w:t>
      </w:r>
      <w:r w:rsidR="0009578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>, при этом, не было ни одного случая нарушения установленн</w:t>
      </w: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>го срока. Ж</w:t>
      </w:r>
      <w:r w:rsidR="006D11D5" w:rsidRPr="00821159">
        <w:rPr>
          <w:rFonts w:ascii="Times New Roman" w:eastAsia="Times New Roman" w:hAnsi="Times New Roman"/>
          <w:sz w:val="28"/>
          <w:szCs w:val="28"/>
          <w:lang w:eastAsia="ru-RU"/>
        </w:rPr>
        <w:t>алоб и</w:t>
      </w:r>
      <w:r w:rsidR="00823E43" w:rsidRPr="008211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49A" w:rsidRPr="00821159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от застройщиков, заказчиков в адрес </w:t>
      </w:r>
      <w:r w:rsidR="00FF183E" w:rsidRPr="00821159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>, по поводу</w:t>
      </w:r>
      <w:r w:rsidR="004D1863" w:rsidRPr="00821159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нарушений, допущенных при</w:t>
      </w: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выдач</w:t>
      </w:r>
      <w:r w:rsidR="004D1863" w:rsidRPr="0082115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заключений о соответствии,</w:t>
      </w:r>
      <w:r w:rsidR="00FF183E" w:rsidRPr="008211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7449A" w:rsidRPr="0082115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C36B0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7449A" w:rsidRPr="008211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8211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269E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поступало.</w:t>
      </w:r>
    </w:p>
    <w:p w:rsidR="00747391" w:rsidRPr="00A269EA" w:rsidRDefault="007C3EDE" w:rsidP="00A269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E10">
        <w:rPr>
          <w:rFonts w:ascii="Times New Roman" w:hAnsi="Times New Roman"/>
          <w:b/>
          <w:sz w:val="28"/>
          <w:szCs w:val="28"/>
        </w:rPr>
        <w:t>Анализ</w:t>
      </w:r>
      <w:r w:rsidR="0008057B" w:rsidRPr="00B35E10">
        <w:rPr>
          <w:rFonts w:ascii="Times New Roman" w:hAnsi="Times New Roman"/>
          <w:b/>
          <w:sz w:val="28"/>
          <w:szCs w:val="28"/>
        </w:rPr>
        <w:t xml:space="preserve"> действия </w:t>
      </w:r>
      <w:r w:rsidRPr="00B35E10">
        <w:rPr>
          <w:rFonts w:ascii="Times New Roman" w:hAnsi="Times New Roman"/>
          <w:b/>
          <w:sz w:val="28"/>
          <w:szCs w:val="28"/>
        </w:rPr>
        <w:t xml:space="preserve">инспекции </w:t>
      </w:r>
      <w:r w:rsidR="0008057B" w:rsidRPr="00B35E10">
        <w:rPr>
          <w:rFonts w:ascii="Times New Roman" w:hAnsi="Times New Roman"/>
          <w:b/>
          <w:sz w:val="28"/>
          <w:szCs w:val="28"/>
        </w:rPr>
        <w:t>по пресечению нарушений</w:t>
      </w:r>
      <w:r w:rsidR="0008057B" w:rsidRPr="00A91503">
        <w:rPr>
          <w:rFonts w:ascii="Times New Roman" w:hAnsi="Times New Roman"/>
          <w:sz w:val="28"/>
          <w:szCs w:val="28"/>
        </w:rPr>
        <w:t xml:space="preserve"> обязательных тре</w:t>
      </w:r>
      <w:r w:rsidR="00A91503" w:rsidRPr="00A91503">
        <w:rPr>
          <w:rFonts w:ascii="Times New Roman" w:hAnsi="Times New Roman"/>
          <w:sz w:val="28"/>
          <w:szCs w:val="28"/>
        </w:rPr>
        <w:t>бований</w:t>
      </w:r>
      <w:r w:rsidR="00B35E10">
        <w:rPr>
          <w:rFonts w:ascii="Times New Roman" w:hAnsi="Times New Roman"/>
          <w:sz w:val="28"/>
          <w:szCs w:val="28"/>
        </w:rPr>
        <w:t xml:space="preserve"> и (или) устранению последствий таких нарушений, осуществляется, </w:t>
      </w:r>
      <w:r w:rsidR="00B35E10">
        <w:rPr>
          <w:rFonts w:ascii="Times New Roman" w:hAnsi="Times New Roman"/>
          <w:sz w:val="28"/>
          <w:szCs w:val="28"/>
        </w:rPr>
        <w:lastRenderedPageBreak/>
        <w:t xml:space="preserve">в первую очередь, оценкой реализации </w:t>
      </w:r>
      <w:r w:rsidR="00B35E10" w:rsidRPr="00B35E10">
        <w:rPr>
          <w:rFonts w:ascii="Times New Roman" w:hAnsi="Times New Roman"/>
          <w:sz w:val="28"/>
          <w:szCs w:val="28"/>
        </w:rPr>
        <w:t>программ</w:t>
      </w:r>
      <w:r w:rsidR="00B35E10">
        <w:rPr>
          <w:rFonts w:ascii="Times New Roman" w:hAnsi="Times New Roman"/>
          <w:sz w:val="28"/>
          <w:szCs w:val="28"/>
        </w:rPr>
        <w:t>ы</w:t>
      </w:r>
      <w:r w:rsidR="00B35E10" w:rsidRPr="00B35E10">
        <w:rPr>
          <w:rFonts w:ascii="Times New Roman" w:hAnsi="Times New Roman"/>
          <w:sz w:val="28"/>
          <w:szCs w:val="28"/>
        </w:rPr>
        <w:t xml:space="preserve"> профилактики нарушений </w:t>
      </w:r>
      <w:proofErr w:type="gramStart"/>
      <w:r w:rsidR="00B35E10" w:rsidRPr="00B35E10">
        <w:rPr>
          <w:rFonts w:ascii="Times New Roman" w:hAnsi="Times New Roman"/>
          <w:sz w:val="28"/>
          <w:szCs w:val="28"/>
        </w:rPr>
        <w:t>обязательных требований</w:t>
      </w:r>
      <w:r w:rsidR="00B35E10">
        <w:rPr>
          <w:rFonts w:ascii="Times New Roman" w:hAnsi="Times New Roman"/>
          <w:sz w:val="28"/>
          <w:szCs w:val="28"/>
        </w:rPr>
        <w:t>, принятой в инспекции.</w:t>
      </w:r>
      <w:proofErr w:type="gramEnd"/>
    </w:p>
    <w:p w:rsidR="00A269EA" w:rsidRPr="00A91503" w:rsidRDefault="00A269EA" w:rsidP="00A26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</w:t>
      </w:r>
      <w:r w:rsidRPr="00A269EA">
        <w:rPr>
          <w:rFonts w:ascii="Times New Roman" w:hAnsi="Times New Roman"/>
          <w:sz w:val="28"/>
          <w:szCs w:val="28"/>
        </w:rPr>
        <w:t xml:space="preserve"> существенно снизилось количество субъектов, допустивших нарушения, в отношении которых были выданы предписания: в 2020 году – 206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269EA">
        <w:rPr>
          <w:rFonts w:ascii="Times New Roman" w:hAnsi="Times New Roman"/>
          <w:sz w:val="28"/>
          <w:szCs w:val="28"/>
        </w:rPr>
        <w:t xml:space="preserve"> в 2019 году – 289. </w:t>
      </w:r>
      <w:r w:rsidR="004501F0">
        <w:rPr>
          <w:rFonts w:ascii="Times New Roman" w:hAnsi="Times New Roman"/>
          <w:sz w:val="28"/>
          <w:szCs w:val="28"/>
        </w:rPr>
        <w:t xml:space="preserve">В значительной мере, именно </w:t>
      </w:r>
      <w:r w:rsidRPr="00A269EA">
        <w:rPr>
          <w:rFonts w:ascii="Times New Roman" w:hAnsi="Times New Roman"/>
          <w:sz w:val="28"/>
          <w:szCs w:val="28"/>
        </w:rPr>
        <w:t>профилактические мероприятия, проведенные инспекцией по вопросам применения обязательных требований в сфере строительства и реконструкции объектов капитального строител</w:t>
      </w:r>
      <w:r w:rsidR="004501F0">
        <w:rPr>
          <w:rFonts w:ascii="Times New Roman" w:hAnsi="Times New Roman"/>
          <w:sz w:val="28"/>
          <w:szCs w:val="28"/>
        </w:rPr>
        <w:t>ьства, сыграли свою</w:t>
      </w:r>
      <w:r w:rsidR="004501F0" w:rsidRPr="00A269EA">
        <w:rPr>
          <w:rFonts w:ascii="Times New Roman" w:hAnsi="Times New Roman"/>
          <w:sz w:val="28"/>
          <w:szCs w:val="28"/>
        </w:rPr>
        <w:t xml:space="preserve"> роль в сни</w:t>
      </w:r>
      <w:r w:rsidR="004501F0">
        <w:rPr>
          <w:rFonts w:ascii="Times New Roman" w:hAnsi="Times New Roman"/>
          <w:sz w:val="28"/>
          <w:szCs w:val="28"/>
        </w:rPr>
        <w:t>жении данного показателя.</w:t>
      </w:r>
    </w:p>
    <w:p w:rsidR="00D76530" w:rsidRPr="00D76530" w:rsidRDefault="00D76530" w:rsidP="00B12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530">
        <w:rPr>
          <w:rFonts w:ascii="Times New Roman" w:hAnsi="Times New Roman"/>
          <w:sz w:val="28"/>
          <w:szCs w:val="28"/>
        </w:rPr>
        <w:t xml:space="preserve">Эффективность реализации задач программы профилактики </w:t>
      </w:r>
      <w:r w:rsidR="0095364B">
        <w:rPr>
          <w:rFonts w:ascii="Times New Roman" w:hAnsi="Times New Roman"/>
          <w:sz w:val="28"/>
          <w:szCs w:val="28"/>
        </w:rPr>
        <w:t>отразилось также в</w:t>
      </w:r>
      <w:r w:rsidRPr="00D76530">
        <w:rPr>
          <w:rFonts w:ascii="Times New Roman" w:hAnsi="Times New Roman"/>
          <w:sz w:val="28"/>
          <w:szCs w:val="28"/>
        </w:rPr>
        <w:t xml:space="preserve"> снижени</w:t>
      </w:r>
      <w:r w:rsidR="0095364B">
        <w:rPr>
          <w:rFonts w:ascii="Times New Roman" w:hAnsi="Times New Roman"/>
          <w:sz w:val="28"/>
          <w:szCs w:val="28"/>
        </w:rPr>
        <w:t>и</w:t>
      </w:r>
      <w:r w:rsidRPr="00D76530">
        <w:rPr>
          <w:rFonts w:ascii="Times New Roman" w:hAnsi="Times New Roman"/>
          <w:sz w:val="28"/>
          <w:szCs w:val="28"/>
        </w:rPr>
        <w:t xml:space="preserve"> среднего количества выявленных нарушений обязательных требований при проведении надзорных мероприятий в отчетном году, рассчит</w:t>
      </w:r>
      <w:r w:rsidRPr="00D76530">
        <w:rPr>
          <w:rFonts w:ascii="Times New Roman" w:hAnsi="Times New Roman"/>
          <w:sz w:val="28"/>
          <w:szCs w:val="28"/>
        </w:rPr>
        <w:t>ы</w:t>
      </w:r>
      <w:r w:rsidRPr="00D76530">
        <w:rPr>
          <w:rFonts w:ascii="Times New Roman" w:hAnsi="Times New Roman"/>
          <w:sz w:val="28"/>
          <w:szCs w:val="28"/>
        </w:rPr>
        <w:t>вае</w:t>
      </w:r>
      <w:r w:rsidR="0095364B">
        <w:rPr>
          <w:rFonts w:ascii="Times New Roman" w:hAnsi="Times New Roman"/>
          <w:sz w:val="28"/>
          <w:szCs w:val="28"/>
        </w:rPr>
        <w:t>мое</w:t>
      </w:r>
      <w:r w:rsidRPr="00D76530">
        <w:rPr>
          <w:rFonts w:ascii="Times New Roman" w:hAnsi="Times New Roman"/>
          <w:sz w:val="28"/>
          <w:szCs w:val="28"/>
        </w:rPr>
        <w:t xml:space="preserve"> как отношение количества выявленных нарушений обязательных </w:t>
      </w:r>
      <w:proofErr w:type="gramStart"/>
      <w:r w:rsidRPr="00D76530">
        <w:rPr>
          <w:rFonts w:ascii="Times New Roman" w:hAnsi="Times New Roman"/>
          <w:sz w:val="28"/>
          <w:szCs w:val="28"/>
        </w:rPr>
        <w:t>треб</w:t>
      </w:r>
      <w:r w:rsidRPr="00D76530">
        <w:rPr>
          <w:rFonts w:ascii="Times New Roman" w:hAnsi="Times New Roman"/>
          <w:sz w:val="28"/>
          <w:szCs w:val="28"/>
        </w:rPr>
        <w:t>о</w:t>
      </w:r>
      <w:r w:rsidRPr="00D76530">
        <w:rPr>
          <w:rFonts w:ascii="Times New Roman" w:hAnsi="Times New Roman"/>
          <w:sz w:val="28"/>
          <w:szCs w:val="28"/>
        </w:rPr>
        <w:t>ваний</w:t>
      </w:r>
      <w:proofErr w:type="gramEnd"/>
      <w:r w:rsidRPr="00D76530">
        <w:rPr>
          <w:rFonts w:ascii="Times New Roman" w:hAnsi="Times New Roman"/>
          <w:sz w:val="28"/>
          <w:szCs w:val="28"/>
        </w:rPr>
        <w:t xml:space="preserve"> к количеству проведенных контрольно-надзорных мероприятий за отче</w:t>
      </w:r>
      <w:r w:rsidRPr="00D76530">
        <w:rPr>
          <w:rFonts w:ascii="Times New Roman" w:hAnsi="Times New Roman"/>
          <w:sz w:val="28"/>
          <w:szCs w:val="28"/>
        </w:rPr>
        <w:t>т</w:t>
      </w:r>
      <w:r w:rsidRPr="00D76530">
        <w:rPr>
          <w:rFonts w:ascii="Times New Roman" w:hAnsi="Times New Roman"/>
          <w:sz w:val="28"/>
          <w:szCs w:val="28"/>
        </w:rPr>
        <w:t>ный год.</w:t>
      </w:r>
    </w:p>
    <w:p w:rsidR="0008057B" w:rsidRPr="00D76530" w:rsidRDefault="0095364B" w:rsidP="00D7653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</w:t>
      </w:r>
      <w:r w:rsidR="00D76530" w:rsidRPr="00D76530">
        <w:rPr>
          <w:rFonts w:ascii="Times New Roman" w:hAnsi="Times New Roman"/>
          <w:sz w:val="28"/>
          <w:szCs w:val="28"/>
        </w:rPr>
        <w:t xml:space="preserve"> по количеству выявленных инспекцией нарушений в динамике за 2018-20</w:t>
      </w:r>
      <w:r w:rsidR="00D76530">
        <w:rPr>
          <w:rFonts w:ascii="Times New Roman" w:hAnsi="Times New Roman"/>
          <w:sz w:val="28"/>
          <w:szCs w:val="28"/>
        </w:rPr>
        <w:t>20 год</w:t>
      </w:r>
      <w:r w:rsidR="00B12FEA">
        <w:rPr>
          <w:rFonts w:ascii="Times New Roman" w:hAnsi="Times New Roman"/>
          <w:sz w:val="28"/>
          <w:szCs w:val="28"/>
        </w:rPr>
        <w:t>ы</w:t>
      </w:r>
      <w:r w:rsidR="00D76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неуклонно снижался: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851"/>
        <w:gridCol w:w="1275"/>
        <w:gridCol w:w="1276"/>
        <w:gridCol w:w="1241"/>
      </w:tblGrid>
      <w:tr w:rsidR="0007369A" w:rsidRPr="009E1D98" w:rsidTr="0007369A">
        <w:tc>
          <w:tcPr>
            <w:tcW w:w="5353" w:type="dxa"/>
            <w:vAlign w:val="center"/>
          </w:tcPr>
          <w:p w:rsidR="0007369A" w:rsidRPr="00B12FEA" w:rsidRDefault="0007369A" w:rsidP="00073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FEA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851" w:type="dxa"/>
            <w:vAlign w:val="center"/>
          </w:tcPr>
          <w:p w:rsidR="0007369A" w:rsidRPr="00B12FEA" w:rsidRDefault="0007369A" w:rsidP="00073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FEA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07369A" w:rsidRPr="00B12FEA" w:rsidRDefault="0007369A" w:rsidP="00B12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FE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12FEA" w:rsidRPr="00B12FE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12F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07369A" w:rsidRPr="00B12FEA" w:rsidRDefault="0007369A" w:rsidP="00B12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FEA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12FEA" w:rsidRPr="00B12FE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12F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41" w:type="dxa"/>
            <w:vAlign w:val="center"/>
          </w:tcPr>
          <w:p w:rsidR="0007369A" w:rsidRPr="00B12FEA" w:rsidRDefault="0007369A" w:rsidP="00B12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FEA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12FEA" w:rsidRPr="00B12F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12F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471BA" w:rsidRPr="009E1D98" w:rsidTr="004471BA">
        <w:tc>
          <w:tcPr>
            <w:tcW w:w="5353" w:type="dxa"/>
          </w:tcPr>
          <w:p w:rsidR="004471BA" w:rsidRPr="00B12FEA" w:rsidRDefault="004471BA" w:rsidP="00C0726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Количество проведенных проверок</w:t>
            </w:r>
            <w:r w:rsidRPr="00B12F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471BA" w:rsidRPr="00B12FEA" w:rsidRDefault="004471BA" w:rsidP="00C0726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2FEA">
              <w:rPr>
                <w:rFonts w:ascii="Times New Roman" w:hAnsi="Times New Roman"/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4471BA" w:rsidRPr="00B12FEA" w:rsidRDefault="004471BA" w:rsidP="00C0726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2FEA">
              <w:rPr>
                <w:rFonts w:ascii="Times New Roman" w:hAnsi="Times New Roman"/>
                <w:bCs/>
                <w:iCs/>
                <w:sz w:val="24"/>
                <w:szCs w:val="24"/>
              </w:rPr>
              <w:t>2 835</w:t>
            </w:r>
          </w:p>
        </w:tc>
        <w:tc>
          <w:tcPr>
            <w:tcW w:w="1276" w:type="dxa"/>
            <w:vAlign w:val="center"/>
          </w:tcPr>
          <w:p w:rsidR="004471BA" w:rsidRPr="004471BA" w:rsidRDefault="004471BA" w:rsidP="004471B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1BA">
              <w:rPr>
                <w:rFonts w:ascii="Times New Roman" w:hAnsi="Times New Roman"/>
                <w:bCs/>
                <w:iCs/>
                <w:sz w:val="24"/>
                <w:szCs w:val="24"/>
              </w:rPr>
              <w:t>3 503</w:t>
            </w:r>
          </w:p>
        </w:tc>
        <w:tc>
          <w:tcPr>
            <w:tcW w:w="1241" w:type="dxa"/>
            <w:vAlign w:val="center"/>
          </w:tcPr>
          <w:p w:rsidR="004471BA" w:rsidRPr="004471BA" w:rsidRDefault="004471BA" w:rsidP="004471B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71BA">
              <w:rPr>
                <w:rFonts w:ascii="Times New Roman" w:hAnsi="Times New Roman"/>
                <w:bCs/>
                <w:iCs/>
                <w:sz w:val="24"/>
                <w:szCs w:val="24"/>
              </w:rPr>
              <w:t>3 435</w:t>
            </w:r>
          </w:p>
        </w:tc>
      </w:tr>
      <w:tr w:rsidR="00B12FEA" w:rsidRPr="009E1D98" w:rsidTr="0007369A">
        <w:tc>
          <w:tcPr>
            <w:tcW w:w="5353" w:type="dxa"/>
          </w:tcPr>
          <w:p w:rsidR="00B12FEA" w:rsidRPr="00B12FEA" w:rsidRDefault="00B12FEA" w:rsidP="0007369A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2F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Количество выявленных нарушений </w:t>
            </w:r>
          </w:p>
        </w:tc>
        <w:tc>
          <w:tcPr>
            <w:tcW w:w="851" w:type="dxa"/>
          </w:tcPr>
          <w:p w:rsidR="00B12FEA" w:rsidRPr="00B12FEA" w:rsidRDefault="00B12FEA" w:rsidP="0007369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F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B12FEA" w:rsidRPr="00B12FEA" w:rsidRDefault="00B12FEA" w:rsidP="0007369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2FEA">
              <w:rPr>
                <w:rFonts w:ascii="Times New Roman" w:hAnsi="Times New Roman"/>
                <w:bCs/>
                <w:iCs/>
                <w:sz w:val="24"/>
                <w:szCs w:val="24"/>
              </w:rPr>
              <w:t>1 519</w:t>
            </w:r>
          </w:p>
        </w:tc>
        <w:tc>
          <w:tcPr>
            <w:tcW w:w="1276" w:type="dxa"/>
          </w:tcPr>
          <w:p w:rsidR="00B12FEA" w:rsidRPr="00B12FEA" w:rsidRDefault="00B12FEA" w:rsidP="00F357A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2FEA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12FEA">
              <w:rPr>
                <w:rFonts w:ascii="Times New Roman" w:hAnsi="Times New Roman"/>
                <w:bCs/>
                <w:iCs/>
                <w:sz w:val="24"/>
                <w:szCs w:val="24"/>
              </w:rPr>
              <w:t>610</w:t>
            </w:r>
          </w:p>
        </w:tc>
        <w:tc>
          <w:tcPr>
            <w:tcW w:w="1241" w:type="dxa"/>
          </w:tcPr>
          <w:p w:rsidR="00B12FEA" w:rsidRPr="00B12FEA" w:rsidRDefault="00B12FEA" w:rsidP="00F357A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2FEA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12FEA">
              <w:rPr>
                <w:rFonts w:ascii="Times New Roman" w:hAnsi="Times New Roman"/>
                <w:bCs/>
                <w:iCs/>
                <w:sz w:val="24"/>
                <w:szCs w:val="24"/>
              </w:rPr>
              <w:t>870</w:t>
            </w:r>
          </w:p>
        </w:tc>
      </w:tr>
      <w:tr w:rsidR="00A52DE0" w:rsidRPr="00A52DE0" w:rsidTr="0007369A">
        <w:tc>
          <w:tcPr>
            <w:tcW w:w="5353" w:type="dxa"/>
          </w:tcPr>
          <w:p w:rsidR="00B12FEA" w:rsidRPr="00A52DE0" w:rsidRDefault="00B12FEA" w:rsidP="0007369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DE0">
              <w:rPr>
                <w:rFonts w:ascii="Times New Roman" w:hAnsi="Times New Roman"/>
                <w:bCs/>
                <w:sz w:val="24"/>
                <w:szCs w:val="24"/>
              </w:rPr>
              <w:t>Среднее количество выявленных нарушений</w:t>
            </w:r>
          </w:p>
        </w:tc>
        <w:tc>
          <w:tcPr>
            <w:tcW w:w="851" w:type="dxa"/>
          </w:tcPr>
          <w:p w:rsidR="00B12FEA" w:rsidRPr="00A52DE0" w:rsidRDefault="00B12FEA" w:rsidP="0007369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DE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B12FEA" w:rsidRPr="00A52DE0" w:rsidRDefault="00B12FEA" w:rsidP="0007369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DE0">
              <w:rPr>
                <w:rFonts w:ascii="Times New Roman" w:hAnsi="Times New Roman"/>
                <w:bCs/>
                <w:sz w:val="24"/>
                <w:szCs w:val="24"/>
              </w:rPr>
              <w:t>0,54</w:t>
            </w:r>
          </w:p>
        </w:tc>
        <w:tc>
          <w:tcPr>
            <w:tcW w:w="1276" w:type="dxa"/>
          </w:tcPr>
          <w:p w:rsidR="00B12FEA" w:rsidRPr="00A52DE0" w:rsidRDefault="00B12FEA" w:rsidP="00F357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DE0">
              <w:rPr>
                <w:rFonts w:ascii="Times New Roman" w:hAnsi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1241" w:type="dxa"/>
          </w:tcPr>
          <w:p w:rsidR="00B12FEA" w:rsidRPr="00A52DE0" w:rsidRDefault="00B12FEA" w:rsidP="00F357A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DE0">
              <w:rPr>
                <w:rFonts w:ascii="Times New Roman" w:hAnsi="Times New Roman"/>
                <w:bCs/>
                <w:sz w:val="24"/>
                <w:szCs w:val="24"/>
              </w:rPr>
              <w:t>1, 13</w:t>
            </w:r>
          </w:p>
        </w:tc>
      </w:tr>
    </w:tbl>
    <w:p w:rsidR="004315F2" w:rsidRDefault="004315F2" w:rsidP="00B12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094" w:rsidRDefault="00B12FEA" w:rsidP="00B12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DE0">
        <w:rPr>
          <w:rFonts w:ascii="Times New Roman" w:hAnsi="Times New Roman"/>
          <w:sz w:val="28"/>
          <w:szCs w:val="28"/>
        </w:rPr>
        <w:t xml:space="preserve">Наличие ограничительных мер, связанных с распространением новой </w:t>
      </w:r>
      <w:proofErr w:type="spellStart"/>
      <w:r w:rsidRPr="00A52DE0">
        <w:rPr>
          <w:rFonts w:ascii="Times New Roman" w:hAnsi="Times New Roman"/>
          <w:sz w:val="28"/>
          <w:szCs w:val="28"/>
        </w:rPr>
        <w:t>к</w:t>
      </w:r>
      <w:r w:rsidRPr="00A52DE0">
        <w:rPr>
          <w:rFonts w:ascii="Times New Roman" w:hAnsi="Times New Roman"/>
          <w:sz w:val="28"/>
          <w:szCs w:val="28"/>
        </w:rPr>
        <w:t>о</w:t>
      </w:r>
      <w:r w:rsidRPr="00A52DE0">
        <w:rPr>
          <w:rFonts w:ascii="Times New Roman" w:hAnsi="Times New Roman"/>
          <w:sz w:val="28"/>
          <w:szCs w:val="28"/>
        </w:rPr>
        <w:t>ронавирусной</w:t>
      </w:r>
      <w:proofErr w:type="spellEnd"/>
      <w:r w:rsidRPr="00A52DE0">
        <w:rPr>
          <w:rFonts w:ascii="Times New Roman" w:hAnsi="Times New Roman"/>
          <w:sz w:val="28"/>
          <w:szCs w:val="28"/>
        </w:rPr>
        <w:t xml:space="preserve"> инфекции (2019-nCoV), в 2020 году не </w:t>
      </w:r>
      <w:r w:rsidR="00F74D7E">
        <w:rPr>
          <w:rFonts w:ascii="Times New Roman" w:hAnsi="Times New Roman"/>
          <w:sz w:val="28"/>
          <w:szCs w:val="28"/>
        </w:rPr>
        <w:t>снизило</w:t>
      </w:r>
      <w:r w:rsidRPr="00A52DE0">
        <w:rPr>
          <w:rFonts w:ascii="Times New Roman" w:hAnsi="Times New Roman"/>
          <w:sz w:val="28"/>
          <w:szCs w:val="28"/>
        </w:rPr>
        <w:t xml:space="preserve"> </w:t>
      </w:r>
      <w:r w:rsidR="00F74D7E">
        <w:rPr>
          <w:rFonts w:ascii="Times New Roman" w:hAnsi="Times New Roman"/>
          <w:sz w:val="28"/>
          <w:szCs w:val="28"/>
        </w:rPr>
        <w:t>уровень</w:t>
      </w:r>
      <w:r w:rsidRPr="00A52DE0">
        <w:rPr>
          <w:rFonts w:ascii="Times New Roman" w:hAnsi="Times New Roman"/>
          <w:sz w:val="28"/>
          <w:szCs w:val="28"/>
        </w:rPr>
        <w:t xml:space="preserve"> проф</w:t>
      </w:r>
      <w:r w:rsidRPr="00A52DE0">
        <w:rPr>
          <w:rFonts w:ascii="Times New Roman" w:hAnsi="Times New Roman"/>
          <w:sz w:val="28"/>
          <w:szCs w:val="28"/>
        </w:rPr>
        <w:t>и</w:t>
      </w:r>
      <w:r w:rsidRPr="00A52DE0">
        <w:rPr>
          <w:rFonts w:ascii="Times New Roman" w:hAnsi="Times New Roman"/>
          <w:sz w:val="28"/>
          <w:szCs w:val="28"/>
        </w:rPr>
        <w:t>лакти</w:t>
      </w:r>
      <w:r w:rsidR="00F74D7E">
        <w:rPr>
          <w:rFonts w:ascii="Times New Roman" w:hAnsi="Times New Roman"/>
          <w:sz w:val="28"/>
          <w:szCs w:val="28"/>
        </w:rPr>
        <w:t>ческих мероприятий: все запланированные мероприятия инспекцией были проведены.</w:t>
      </w:r>
      <w:r w:rsidRPr="00A52DE0">
        <w:rPr>
          <w:rFonts w:ascii="Times New Roman" w:hAnsi="Times New Roman"/>
          <w:sz w:val="28"/>
          <w:szCs w:val="28"/>
        </w:rPr>
        <w:t xml:space="preserve"> </w:t>
      </w:r>
      <w:r w:rsidR="00F74D7E">
        <w:rPr>
          <w:rFonts w:ascii="Times New Roman" w:hAnsi="Times New Roman"/>
          <w:sz w:val="28"/>
          <w:szCs w:val="28"/>
        </w:rPr>
        <w:t>При этом</w:t>
      </w:r>
      <w:proofErr w:type="gramStart"/>
      <w:r w:rsidR="00F74D7E">
        <w:rPr>
          <w:rFonts w:ascii="Times New Roman" w:hAnsi="Times New Roman"/>
          <w:sz w:val="28"/>
          <w:szCs w:val="28"/>
        </w:rPr>
        <w:t>,</w:t>
      </w:r>
      <w:proofErr w:type="gramEnd"/>
      <w:r w:rsidR="00F74D7E">
        <w:rPr>
          <w:rFonts w:ascii="Times New Roman" w:hAnsi="Times New Roman"/>
          <w:sz w:val="28"/>
          <w:szCs w:val="28"/>
        </w:rPr>
        <w:t xml:space="preserve"> стоит отметить, что в 2020 году было </w:t>
      </w:r>
      <w:r w:rsidRPr="00A52DE0">
        <w:rPr>
          <w:rFonts w:ascii="Times New Roman" w:hAnsi="Times New Roman"/>
          <w:sz w:val="28"/>
          <w:szCs w:val="28"/>
        </w:rPr>
        <w:t>проведено в два раза больше публичных мероприятий по сравнению с 2019 и 2018 годами с использ</w:t>
      </w:r>
      <w:r w:rsidRPr="00A52DE0">
        <w:rPr>
          <w:rFonts w:ascii="Times New Roman" w:hAnsi="Times New Roman"/>
          <w:sz w:val="28"/>
          <w:szCs w:val="28"/>
        </w:rPr>
        <w:t>о</w:t>
      </w:r>
      <w:r w:rsidRPr="00A52DE0">
        <w:rPr>
          <w:rFonts w:ascii="Times New Roman" w:hAnsi="Times New Roman"/>
          <w:sz w:val="28"/>
          <w:szCs w:val="28"/>
        </w:rPr>
        <w:t>ванием современных технологий</w:t>
      </w:r>
      <w:r w:rsidR="00F74D7E">
        <w:rPr>
          <w:rFonts w:ascii="Times New Roman" w:hAnsi="Times New Roman"/>
          <w:sz w:val="28"/>
          <w:szCs w:val="28"/>
        </w:rPr>
        <w:t>, включая удаленный доступ</w:t>
      </w:r>
      <w:r w:rsidRPr="00A52DE0">
        <w:rPr>
          <w:rFonts w:ascii="Times New Roman" w:hAnsi="Times New Roman"/>
          <w:sz w:val="28"/>
          <w:szCs w:val="28"/>
        </w:rPr>
        <w:t>, ранее не заде</w:t>
      </w:r>
      <w:r w:rsidRPr="00A52DE0">
        <w:rPr>
          <w:rFonts w:ascii="Times New Roman" w:hAnsi="Times New Roman"/>
          <w:sz w:val="28"/>
          <w:szCs w:val="28"/>
        </w:rPr>
        <w:t>й</w:t>
      </w:r>
      <w:r w:rsidRPr="00A52DE0">
        <w:rPr>
          <w:rFonts w:ascii="Times New Roman" w:hAnsi="Times New Roman"/>
          <w:sz w:val="28"/>
          <w:szCs w:val="28"/>
        </w:rPr>
        <w:t xml:space="preserve">ствованных инспекцией. </w:t>
      </w:r>
    </w:p>
    <w:p w:rsidR="00B12FEA" w:rsidRPr="00A52DE0" w:rsidRDefault="00CC5094" w:rsidP="00B12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C5094">
        <w:rPr>
          <w:rFonts w:ascii="Times New Roman" w:hAnsi="Times New Roman"/>
          <w:sz w:val="28"/>
          <w:szCs w:val="28"/>
        </w:rPr>
        <w:t xml:space="preserve"> 2020 году инспекцией также отмечено повышение ответственности з</w:t>
      </w:r>
      <w:r w:rsidRPr="00CC5094">
        <w:rPr>
          <w:rFonts w:ascii="Times New Roman" w:hAnsi="Times New Roman"/>
          <w:sz w:val="28"/>
          <w:szCs w:val="28"/>
        </w:rPr>
        <w:t>а</w:t>
      </w:r>
      <w:r w:rsidRPr="00CC5094">
        <w:rPr>
          <w:rFonts w:ascii="Times New Roman" w:hAnsi="Times New Roman"/>
          <w:sz w:val="28"/>
          <w:szCs w:val="28"/>
        </w:rPr>
        <w:t>стройщиков и лиц, осуществляющих строительство в сло</w:t>
      </w:r>
      <w:r w:rsidRPr="00CC5094">
        <w:rPr>
          <w:rFonts w:ascii="Times New Roman" w:hAnsi="Times New Roman"/>
          <w:sz w:val="28"/>
          <w:szCs w:val="28"/>
        </w:rPr>
        <w:t>ж</w:t>
      </w:r>
      <w:r w:rsidRPr="00CC5094">
        <w:rPr>
          <w:rFonts w:ascii="Times New Roman" w:hAnsi="Times New Roman"/>
          <w:sz w:val="28"/>
          <w:szCs w:val="28"/>
        </w:rPr>
        <w:t>ной экономической ситуации при наличии эпидемиологических ограничений, кот</w:t>
      </w:r>
      <w:r w:rsidRPr="00CC5094">
        <w:rPr>
          <w:rFonts w:ascii="Times New Roman" w:hAnsi="Times New Roman"/>
          <w:sz w:val="28"/>
          <w:szCs w:val="28"/>
        </w:rPr>
        <w:t>о</w:t>
      </w:r>
      <w:r w:rsidRPr="00CC5094">
        <w:rPr>
          <w:rFonts w:ascii="Times New Roman" w:hAnsi="Times New Roman"/>
          <w:sz w:val="28"/>
          <w:szCs w:val="28"/>
        </w:rPr>
        <w:t>рое повлияло на общее снижение количества нарушений.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369A" w:rsidRDefault="00B12FEA" w:rsidP="00B12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DE0">
        <w:rPr>
          <w:rFonts w:ascii="Times New Roman" w:hAnsi="Times New Roman"/>
          <w:sz w:val="28"/>
          <w:szCs w:val="28"/>
        </w:rPr>
        <w:t>На официальном сайте инспекции в сети «Интернет» по адр</w:t>
      </w:r>
      <w:r w:rsidR="00A52DE0" w:rsidRPr="00A52DE0">
        <w:rPr>
          <w:rFonts w:ascii="Times New Roman" w:hAnsi="Times New Roman"/>
          <w:sz w:val="28"/>
          <w:szCs w:val="28"/>
        </w:rPr>
        <w:t xml:space="preserve">есу: </w:t>
      </w:r>
      <w:hyperlink r:id="rId8" w:history="1">
        <w:r w:rsidR="00A52DE0" w:rsidRPr="005E7311">
          <w:rPr>
            <w:rStyle w:val="ab"/>
            <w:rFonts w:ascii="Times New Roman" w:hAnsi="Times New Roman"/>
            <w:sz w:val="28"/>
            <w:szCs w:val="28"/>
          </w:rPr>
          <w:t>http://gsn.nso.ru/page/328</w:t>
        </w:r>
      </w:hyperlink>
      <w:r w:rsidRPr="00B12FEA">
        <w:rPr>
          <w:rFonts w:ascii="Times New Roman" w:hAnsi="Times New Roman"/>
          <w:color w:val="FF0000"/>
          <w:sz w:val="28"/>
          <w:szCs w:val="28"/>
        </w:rPr>
        <w:t>,</w:t>
      </w:r>
      <w:r w:rsidR="00A52D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52DE0">
        <w:rPr>
          <w:rFonts w:ascii="Times New Roman" w:hAnsi="Times New Roman"/>
          <w:sz w:val="28"/>
          <w:szCs w:val="28"/>
        </w:rPr>
        <w:t>в том числе в подразделе «Профилактика нарушений обязательных требований», действует подписка пользователей официального сайта на рассылку электронных сообщений с информацией связанной с проф</w:t>
      </w:r>
      <w:r w:rsidRPr="00A52DE0">
        <w:rPr>
          <w:rFonts w:ascii="Times New Roman" w:hAnsi="Times New Roman"/>
          <w:sz w:val="28"/>
          <w:szCs w:val="28"/>
        </w:rPr>
        <w:t>и</w:t>
      </w:r>
      <w:r w:rsidRPr="00A52DE0">
        <w:rPr>
          <w:rFonts w:ascii="Times New Roman" w:hAnsi="Times New Roman"/>
          <w:sz w:val="28"/>
          <w:szCs w:val="28"/>
        </w:rPr>
        <w:t>лактикой нарушений обязательных требований, а так же иной информации ва</w:t>
      </w:r>
      <w:r w:rsidRPr="00A52DE0">
        <w:rPr>
          <w:rFonts w:ascii="Times New Roman" w:hAnsi="Times New Roman"/>
          <w:sz w:val="28"/>
          <w:szCs w:val="28"/>
        </w:rPr>
        <w:t>ж</w:t>
      </w:r>
      <w:r w:rsidRPr="00A52DE0">
        <w:rPr>
          <w:rFonts w:ascii="Times New Roman" w:hAnsi="Times New Roman"/>
          <w:sz w:val="28"/>
          <w:szCs w:val="28"/>
        </w:rPr>
        <w:t>ной для поднадзорных субъектов.</w:t>
      </w:r>
    </w:p>
    <w:p w:rsidR="004315F2" w:rsidRDefault="004315F2" w:rsidP="00B12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</w:t>
      </w:r>
      <w:r w:rsidR="00CC5094">
        <w:rPr>
          <w:rFonts w:ascii="Times New Roman" w:hAnsi="Times New Roman"/>
          <w:sz w:val="28"/>
          <w:szCs w:val="28"/>
        </w:rPr>
        <w:t>уверенно</w:t>
      </w:r>
      <w:r>
        <w:rPr>
          <w:rFonts w:ascii="Times New Roman" w:hAnsi="Times New Roman"/>
          <w:sz w:val="28"/>
          <w:szCs w:val="28"/>
        </w:rPr>
        <w:t xml:space="preserve"> констатировать, </w:t>
      </w:r>
      <w:r w:rsidRPr="004315F2">
        <w:rPr>
          <w:rFonts w:ascii="Times New Roman" w:hAnsi="Times New Roman"/>
          <w:sz w:val="28"/>
          <w:szCs w:val="28"/>
        </w:rPr>
        <w:t>что реализация задач программы проф</w:t>
      </w:r>
      <w:r w:rsidRPr="004315F2">
        <w:rPr>
          <w:rFonts w:ascii="Times New Roman" w:hAnsi="Times New Roman"/>
          <w:sz w:val="28"/>
          <w:szCs w:val="28"/>
        </w:rPr>
        <w:t>и</w:t>
      </w:r>
      <w:r w:rsidRPr="004315F2">
        <w:rPr>
          <w:rFonts w:ascii="Times New Roman" w:hAnsi="Times New Roman"/>
          <w:sz w:val="28"/>
          <w:szCs w:val="28"/>
        </w:rPr>
        <w:t>лактики на 2020 год своих целей достигла</w:t>
      </w:r>
      <w:r w:rsidR="00CC5094">
        <w:rPr>
          <w:rFonts w:ascii="Times New Roman" w:hAnsi="Times New Roman"/>
          <w:sz w:val="28"/>
          <w:szCs w:val="28"/>
        </w:rPr>
        <w:t>,</w:t>
      </w:r>
      <w:r w:rsidRPr="004315F2">
        <w:rPr>
          <w:rFonts w:ascii="Times New Roman" w:hAnsi="Times New Roman"/>
          <w:sz w:val="28"/>
          <w:szCs w:val="28"/>
        </w:rPr>
        <w:t xml:space="preserve"> и показала высокую эффективность профилактической работы инспе</w:t>
      </w:r>
      <w:r w:rsidRPr="004315F2">
        <w:rPr>
          <w:rFonts w:ascii="Times New Roman" w:hAnsi="Times New Roman"/>
          <w:sz w:val="28"/>
          <w:szCs w:val="28"/>
        </w:rPr>
        <w:t>к</w:t>
      </w:r>
      <w:r w:rsidRPr="004315F2">
        <w:rPr>
          <w:rFonts w:ascii="Times New Roman" w:hAnsi="Times New Roman"/>
          <w:sz w:val="28"/>
          <w:szCs w:val="28"/>
        </w:rPr>
        <w:t>ции.</w:t>
      </w:r>
    </w:p>
    <w:p w:rsidR="00A72D51" w:rsidRPr="009273B8" w:rsidRDefault="004315F2" w:rsidP="00A72D5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15F2">
        <w:rPr>
          <w:rFonts w:ascii="Times New Roman" w:eastAsia="Times New Roman" w:hAnsi="Times New Roman"/>
          <w:b/>
          <w:sz w:val="28"/>
          <w:szCs w:val="28"/>
          <w:lang w:eastAsia="ru-RU"/>
        </w:rPr>
        <w:t>Вывод.</w:t>
      </w:r>
    </w:p>
    <w:p w:rsidR="00A72D51" w:rsidRDefault="00A72D51" w:rsidP="00A72D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г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осударственный строительный надзор в Новосибирской области осуществля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на основании и 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нормативными правовыми актами, регламентирующими порядок его организ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ации и осущест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ления. Объемы работ,  выполненных инспекцией в отчетном периоде, свидетел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ствуют о высокой интенсивности ее деятельности, не смотря на ограничения, установленные в отношении деятельности контрольно-надзорных органов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вительством Российской Федерации, постановлениями Губернатора и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тельства Новосибирской области, связанные с распространением новой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</w:t>
      </w:r>
      <w:r w:rsidRPr="00FC4BA6">
        <w:rPr>
          <w:rFonts w:ascii="Times New Roman" w:eastAsia="Times New Roman" w:hAnsi="Times New Roman"/>
          <w:sz w:val="28"/>
          <w:szCs w:val="28"/>
          <w:lang w:eastAsia="ru-RU"/>
        </w:rPr>
        <w:t>(2019-nCoV)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376C2">
        <w:t xml:space="preserve"> </w:t>
      </w:r>
      <w:r w:rsidRPr="005376C2">
        <w:rPr>
          <w:rFonts w:ascii="Times New Roman" w:eastAsia="Times New Roman" w:hAnsi="Times New Roman"/>
          <w:sz w:val="28"/>
          <w:szCs w:val="28"/>
          <w:lang w:eastAsia="ru-RU"/>
        </w:rPr>
        <w:t>Все мероприятия, связанные с надзорной де</w:t>
      </w:r>
      <w:r w:rsidRPr="005376C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376C2">
        <w:rPr>
          <w:rFonts w:ascii="Times New Roman" w:eastAsia="Times New Roman" w:hAnsi="Times New Roman"/>
          <w:sz w:val="28"/>
          <w:szCs w:val="28"/>
          <w:lang w:eastAsia="ru-RU"/>
        </w:rPr>
        <w:t>тельностью инспекции,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числе, проведение проверок, а также действия по пресечению нарушений обязательных требований и (или) устранению после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ствий таких нарушений,</w:t>
      </w:r>
      <w:r w:rsidRPr="005376C2">
        <w:rPr>
          <w:rFonts w:ascii="Times New Roman" w:eastAsia="Times New Roman" w:hAnsi="Times New Roman"/>
          <w:sz w:val="28"/>
          <w:szCs w:val="28"/>
          <w:lang w:eastAsia="ru-RU"/>
        </w:rPr>
        <w:t xml:space="preserve"> в 2020 году </w:t>
      </w:r>
      <w:r w:rsidRPr="00017E5F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инспекцией в полном объеме.</w:t>
      </w:r>
    </w:p>
    <w:p w:rsidR="00A72D51" w:rsidRDefault="00A72D51" w:rsidP="00A72D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</w:t>
      </w:r>
      <w:r w:rsidRPr="00E37870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инспекцией </w:t>
      </w:r>
      <w:r w:rsidRPr="00E37870">
        <w:rPr>
          <w:rFonts w:ascii="Times New Roman" w:eastAsia="Times New Roman" w:hAnsi="Times New Roman"/>
          <w:sz w:val="28"/>
          <w:szCs w:val="28"/>
          <w:lang w:eastAsia="ru-RU"/>
        </w:rPr>
        <w:t>регионального государственного строительного надзора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2020 году,</w:t>
      </w:r>
      <w:r w:rsidRPr="00E378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5F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проведенный в рамках </w:t>
      </w:r>
      <w:r w:rsidR="004315F2" w:rsidRPr="004315F2">
        <w:rPr>
          <w:rFonts w:ascii="Times New Roman" w:eastAsia="Times New Roman" w:hAnsi="Times New Roman"/>
          <w:sz w:val="28"/>
          <w:szCs w:val="28"/>
          <w:lang w:eastAsia="ru-RU"/>
        </w:rPr>
        <w:t>оценки результати</w:t>
      </w:r>
      <w:r w:rsidR="004315F2" w:rsidRPr="004315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315F2" w:rsidRPr="004315F2">
        <w:rPr>
          <w:rFonts w:ascii="Times New Roman" w:eastAsia="Times New Roman" w:hAnsi="Times New Roman"/>
          <w:sz w:val="28"/>
          <w:szCs w:val="28"/>
          <w:lang w:eastAsia="ru-RU"/>
        </w:rPr>
        <w:t>ности и эффективности деятельности областных исполнительных органов гос</w:t>
      </w:r>
      <w:r w:rsidR="004315F2" w:rsidRPr="004315F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315F2" w:rsidRPr="004315F2">
        <w:rPr>
          <w:rFonts w:ascii="Times New Roman" w:eastAsia="Times New Roman" w:hAnsi="Times New Roman"/>
          <w:sz w:val="28"/>
          <w:szCs w:val="28"/>
          <w:lang w:eastAsia="ru-RU"/>
        </w:rPr>
        <w:t>дарственной власти Новосибирской области по осуществлению регионального государственного контроля</w:t>
      </w:r>
      <w:r w:rsidR="004315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15F2" w:rsidRPr="004315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свидетельствует об отсутств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 </w:t>
      </w:r>
      <w:r w:rsidR="004315F2">
        <w:rPr>
          <w:rFonts w:ascii="Times New Roman" w:eastAsia="Times New Roman" w:hAnsi="Times New Roman"/>
          <w:sz w:val="28"/>
          <w:szCs w:val="28"/>
          <w:lang w:eastAsia="ru-RU"/>
        </w:rPr>
        <w:t>у и</w:t>
      </w:r>
      <w:proofErr w:type="gramEnd"/>
      <w:r w:rsidR="004315F2">
        <w:rPr>
          <w:rFonts w:ascii="Times New Roman" w:eastAsia="Times New Roman" w:hAnsi="Times New Roman"/>
          <w:sz w:val="28"/>
          <w:szCs w:val="28"/>
          <w:lang w:eastAsia="ru-RU"/>
        </w:rPr>
        <w:t xml:space="preserve">нспекции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тельных тенденций контрольных показателей, и </w:t>
      </w:r>
      <w:r w:rsidRPr="00E37870">
        <w:rPr>
          <w:rFonts w:ascii="Times New Roman" w:eastAsia="Times New Roman" w:hAnsi="Times New Roman"/>
          <w:sz w:val="28"/>
          <w:szCs w:val="28"/>
          <w:lang w:eastAsia="ru-RU"/>
        </w:rPr>
        <w:t>оцен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ивает деятельность инспе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 </w:t>
      </w:r>
      <w:r w:rsidRPr="00E378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E37870">
        <w:rPr>
          <w:rFonts w:ascii="Times New Roman" w:eastAsia="Times New Roman" w:hAnsi="Times New Roman"/>
          <w:sz w:val="28"/>
          <w:szCs w:val="28"/>
          <w:lang w:eastAsia="ru-RU"/>
        </w:rPr>
        <w:t>эффективн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 и результ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тивную.</w:t>
      </w:r>
    </w:p>
    <w:p w:rsidR="00F41D6B" w:rsidRPr="007843FB" w:rsidRDefault="00F41D6B" w:rsidP="00A72D51">
      <w:pPr>
        <w:spacing w:after="120" w:line="240" w:lineRule="auto"/>
        <w:jc w:val="center"/>
        <w:rPr>
          <w:color w:val="FF0000"/>
        </w:rPr>
      </w:pPr>
    </w:p>
    <w:sectPr w:rsidR="00F41D6B" w:rsidRPr="007843FB" w:rsidSect="00BE07DC">
      <w:footerReference w:type="default" r:id="rId9"/>
      <w:pgSz w:w="11906" w:h="16838"/>
      <w:pgMar w:top="851" w:right="850" w:bottom="851" w:left="1276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1E" w:rsidRDefault="003F6B1E" w:rsidP="00A30CFC">
      <w:pPr>
        <w:spacing w:after="0" w:line="240" w:lineRule="auto"/>
      </w:pPr>
      <w:r>
        <w:separator/>
      </w:r>
    </w:p>
  </w:endnote>
  <w:endnote w:type="continuationSeparator" w:id="0">
    <w:p w:rsidR="003F6B1E" w:rsidRDefault="003F6B1E" w:rsidP="00A3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323908"/>
      <w:docPartObj>
        <w:docPartGallery w:val="Page Numbers (Bottom of Page)"/>
        <w:docPartUnique/>
      </w:docPartObj>
    </w:sdtPr>
    <w:sdtEndPr/>
    <w:sdtContent>
      <w:p w:rsidR="00DB2DA6" w:rsidRDefault="00DB2D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094">
          <w:rPr>
            <w:noProof/>
          </w:rPr>
          <w:t>1</w:t>
        </w:r>
        <w:r>
          <w:fldChar w:fldCharType="end"/>
        </w:r>
      </w:p>
    </w:sdtContent>
  </w:sdt>
  <w:p w:rsidR="00DB2DA6" w:rsidRDefault="00DB2D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1E" w:rsidRDefault="003F6B1E" w:rsidP="00A30CFC">
      <w:pPr>
        <w:spacing w:after="0" w:line="240" w:lineRule="auto"/>
      </w:pPr>
      <w:r>
        <w:separator/>
      </w:r>
    </w:p>
  </w:footnote>
  <w:footnote w:type="continuationSeparator" w:id="0">
    <w:p w:rsidR="003F6B1E" w:rsidRDefault="003F6B1E" w:rsidP="00A30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9A"/>
    <w:rsid w:val="00000078"/>
    <w:rsid w:val="000009AF"/>
    <w:rsid w:val="00001A6D"/>
    <w:rsid w:val="00003FB4"/>
    <w:rsid w:val="00004DF2"/>
    <w:rsid w:val="0000583C"/>
    <w:rsid w:val="00005FBD"/>
    <w:rsid w:val="00006F30"/>
    <w:rsid w:val="00007557"/>
    <w:rsid w:val="0001195D"/>
    <w:rsid w:val="00012A9E"/>
    <w:rsid w:val="0001359B"/>
    <w:rsid w:val="00014847"/>
    <w:rsid w:val="00015694"/>
    <w:rsid w:val="0001611A"/>
    <w:rsid w:val="00016953"/>
    <w:rsid w:val="00017E5F"/>
    <w:rsid w:val="00020A8C"/>
    <w:rsid w:val="00020C2A"/>
    <w:rsid w:val="00023B86"/>
    <w:rsid w:val="00024035"/>
    <w:rsid w:val="00025F6D"/>
    <w:rsid w:val="00030274"/>
    <w:rsid w:val="00037174"/>
    <w:rsid w:val="00044907"/>
    <w:rsid w:val="00047027"/>
    <w:rsid w:val="00052117"/>
    <w:rsid w:val="000526B5"/>
    <w:rsid w:val="00053A4F"/>
    <w:rsid w:val="000558C5"/>
    <w:rsid w:val="00056824"/>
    <w:rsid w:val="000568E9"/>
    <w:rsid w:val="00057442"/>
    <w:rsid w:val="00057AAE"/>
    <w:rsid w:val="000618CE"/>
    <w:rsid w:val="00064367"/>
    <w:rsid w:val="00065856"/>
    <w:rsid w:val="0006745A"/>
    <w:rsid w:val="000710D3"/>
    <w:rsid w:val="00072C58"/>
    <w:rsid w:val="0007337B"/>
    <w:rsid w:val="0007369A"/>
    <w:rsid w:val="0007370B"/>
    <w:rsid w:val="00077979"/>
    <w:rsid w:val="0008057B"/>
    <w:rsid w:val="000832B8"/>
    <w:rsid w:val="00087BDC"/>
    <w:rsid w:val="00093181"/>
    <w:rsid w:val="00095789"/>
    <w:rsid w:val="000A0AC1"/>
    <w:rsid w:val="000A0B6A"/>
    <w:rsid w:val="000A6998"/>
    <w:rsid w:val="000B25D7"/>
    <w:rsid w:val="000B2C3F"/>
    <w:rsid w:val="000B5E5A"/>
    <w:rsid w:val="000B6531"/>
    <w:rsid w:val="000C014A"/>
    <w:rsid w:val="000C18D9"/>
    <w:rsid w:val="000C417B"/>
    <w:rsid w:val="000C584A"/>
    <w:rsid w:val="000C6A14"/>
    <w:rsid w:val="000D0BCE"/>
    <w:rsid w:val="000E0592"/>
    <w:rsid w:val="000E07A1"/>
    <w:rsid w:val="000E78F7"/>
    <w:rsid w:val="000F46C2"/>
    <w:rsid w:val="000F570F"/>
    <w:rsid w:val="000F749B"/>
    <w:rsid w:val="00100087"/>
    <w:rsid w:val="00101B42"/>
    <w:rsid w:val="00102B17"/>
    <w:rsid w:val="00107C93"/>
    <w:rsid w:val="00135435"/>
    <w:rsid w:val="00140693"/>
    <w:rsid w:val="0014087B"/>
    <w:rsid w:val="00142EC6"/>
    <w:rsid w:val="00142F9A"/>
    <w:rsid w:val="00144F78"/>
    <w:rsid w:val="00146FFD"/>
    <w:rsid w:val="00147016"/>
    <w:rsid w:val="00147C3E"/>
    <w:rsid w:val="001515BD"/>
    <w:rsid w:val="00152915"/>
    <w:rsid w:val="00155B82"/>
    <w:rsid w:val="00156806"/>
    <w:rsid w:val="00157A39"/>
    <w:rsid w:val="00160C3D"/>
    <w:rsid w:val="0016696D"/>
    <w:rsid w:val="00166DEB"/>
    <w:rsid w:val="00170D16"/>
    <w:rsid w:val="00171811"/>
    <w:rsid w:val="00180302"/>
    <w:rsid w:val="00180645"/>
    <w:rsid w:val="00180B58"/>
    <w:rsid w:val="00181513"/>
    <w:rsid w:val="001828CE"/>
    <w:rsid w:val="0018395D"/>
    <w:rsid w:val="001868AD"/>
    <w:rsid w:val="001926B3"/>
    <w:rsid w:val="00197D0D"/>
    <w:rsid w:val="001A0532"/>
    <w:rsid w:val="001A733E"/>
    <w:rsid w:val="001B0082"/>
    <w:rsid w:val="001B24AB"/>
    <w:rsid w:val="001B27EE"/>
    <w:rsid w:val="001B405E"/>
    <w:rsid w:val="001B4965"/>
    <w:rsid w:val="001B49A1"/>
    <w:rsid w:val="001B4AAE"/>
    <w:rsid w:val="001B59E0"/>
    <w:rsid w:val="001B65F4"/>
    <w:rsid w:val="001B798A"/>
    <w:rsid w:val="001C1142"/>
    <w:rsid w:val="001C42CB"/>
    <w:rsid w:val="001C707A"/>
    <w:rsid w:val="001D629E"/>
    <w:rsid w:val="001D6A1A"/>
    <w:rsid w:val="001D7AE3"/>
    <w:rsid w:val="001E1532"/>
    <w:rsid w:val="001E366E"/>
    <w:rsid w:val="001E3C97"/>
    <w:rsid w:val="001F1144"/>
    <w:rsid w:val="00201323"/>
    <w:rsid w:val="0020169D"/>
    <w:rsid w:val="00201A58"/>
    <w:rsid w:val="002029F8"/>
    <w:rsid w:val="00202C08"/>
    <w:rsid w:val="00205749"/>
    <w:rsid w:val="002075B4"/>
    <w:rsid w:val="00207CC1"/>
    <w:rsid w:val="002100A9"/>
    <w:rsid w:val="0021475A"/>
    <w:rsid w:val="00222BA3"/>
    <w:rsid w:val="0022433E"/>
    <w:rsid w:val="00225953"/>
    <w:rsid w:val="002269DE"/>
    <w:rsid w:val="002277CB"/>
    <w:rsid w:val="0023033E"/>
    <w:rsid w:val="00231214"/>
    <w:rsid w:val="00232E19"/>
    <w:rsid w:val="00234424"/>
    <w:rsid w:val="00237E6B"/>
    <w:rsid w:val="00242189"/>
    <w:rsid w:val="002426F1"/>
    <w:rsid w:val="00244381"/>
    <w:rsid w:val="0024504B"/>
    <w:rsid w:val="00245CC8"/>
    <w:rsid w:val="00246A90"/>
    <w:rsid w:val="002503F3"/>
    <w:rsid w:val="00250F42"/>
    <w:rsid w:val="002515DD"/>
    <w:rsid w:val="002520AA"/>
    <w:rsid w:val="002520E0"/>
    <w:rsid w:val="0025340C"/>
    <w:rsid w:val="00253A36"/>
    <w:rsid w:val="00255114"/>
    <w:rsid w:val="002556AD"/>
    <w:rsid w:val="0025782E"/>
    <w:rsid w:val="00263221"/>
    <w:rsid w:val="00265563"/>
    <w:rsid w:val="00266B61"/>
    <w:rsid w:val="00275D79"/>
    <w:rsid w:val="00275DBB"/>
    <w:rsid w:val="00282FE0"/>
    <w:rsid w:val="00283E11"/>
    <w:rsid w:val="0028484B"/>
    <w:rsid w:val="002849EC"/>
    <w:rsid w:val="00284E81"/>
    <w:rsid w:val="002863AE"/>
    <w:rsid w:val="002921A4"/>
    <w:rsid w:val="00292FC2"/>
    <w:rsid w:val="002949DC"/>
    <w:rsid w:val="0029599C"/>
    <w:rsid w:val="00296724"/>
    <w:rsid w:val="002B0850"/>
    <w:rsid w:val="002C070D"/>
    <w:rsid w:val="002C0974"/>
    <w:rsid w:val="002C0F9E"/>
    <w:rsid w:val="002C2C7B"/>
    <w:rsid w:val="002C3907"/>
    <w:rsid w:val="002C4107"/>
    <w:rsid w:val="002C776E"/>
    <w:rsid w:val="002D1027"/>
    <w:rsid w:val="002D223F"/>
    <w:rsid w:val="002D33D5"/>
    <w:rsid w:val="002D6E65"/>
    <w:rsid w:val="002D730B"/>
    <w:rsid w:val="002E17CF"/>
    <w:rsid w:val="002E3CA4"/>
    <w:rsid w:val="002E78A8"/>
    <w:rsid w:val="002F010C"/>
    <w:rsid w:val="002F1D42"/>
    <w:rsid w:val="002F25D7"/>
    <w:rsid w:val="002F6BF9"/>
    <w:rsid w:val="00303B77"/>
    <w:rsid w:val="00306D4A"/>
    <w:rsid w:val="00307A2B"/>
    <w:rsid w:val="00307A91"/>
    <w:rsid w:val="00311281"/>
    <w:rsid w:val="0031348F"/>
    <w:rsid w:val="0031523F"/>
    <w:rsid w:val="00316094"/>
    <w:rsid w:val="00316F33"/>
    <w:rsid w:val="00317808"/>
    <w:rsid w:val="00317934"/>
    <w:rsid w:val="003266CC"/>
    <w:rsid w:val="003268F5"/>
    <w:rsid w:val="00330D8C"/>
    <w:rsid w:val="00330EA3"/>
    <w:rsid w:val="00332C01"/>
    <w:rsid w:val="003349AF"/>
    <w:rsid w:val="00334FA2"/>
    <w:rsid w:val="00337DE8"/>
    <w:rsid w:val="003404AB"/>
    <w:rsid w:val="00341934"/>
    <w:rsid w:val="00344443"/>
    <w:rsid w:val="0034539E"/>
    <w:rsid w:val="003467FE"/>
    <w:rsid w:val="00351FCC"/>
    <w:rsid w:val="00355269"/>
    <w:rsid w:val="003559C7"/>
    <w:rsid w:val="00356B5B"/>
    <w:rsid w:val="00361219"/>
    <w:rsid w:val="00365216"/>
    <w:rsid w:val="003662A1"/>
    <w:rsid w:val="00370D51"/>
    <w:rsid w:val="00372788"/>
    <w:rsid w:val="00382B92"/>
    <w:rsid w:val="00382C10"/>
    <w:rsid w:val="00382C86"/>
    <w:rsid w:val="003850A5"/>
    <w:rsid w:val="003851AA"/>
    <w:rsid w:val="00387122"/>
    <w:rsid w:val="00391EA7"/>
    <w:rsid w:val="00392C8F"/>
    <w:rsid w:val="003960F4"/>
    <w:rsid w:val="00396C78"/>
    <w:rsid w:val="00397F2C"/>
    <w:rsid w:val="003A21F3"/>
    <w:rsid w:val="003A2BAB"/>
    <w:rsid w:val="003A3236"/>
    <w:rsid w:val="003A6305"/>
    <w:rsid w:val="003B2D85"/>
    <w:rsid w:val="003B3DF5"/>
    <w:rsid w:val="003B7B10"/>
    <w:rsid w:val="003C499E"/>
    <w:rsid w:val="003C581D"/>
    <w:rsid w:val="003C63A1"/>
    <w:rsid w:val="003D1F55"/>
    <w:rsid w:val="003D2290"/>
    <w:rsid w:val="003D3835"/>
    <w:rsid w:val="003D4862"/>
    <w:rsid w:val="003D6B2D"/>
    <w:rsid w:val="003D7B1B"/>
    <w:rsid w:val="003E18F5"/>
    <w:rsid w:val="003E40A5"/>
    <w:rsid w:val="003E5F93"/>
    <w:rsid w:val="003F1D7A"/>
    <w:rsid w:val="003F29DF"/>
    <w:rsid w:val="003F45AA"/>
    <w:rsid w:val="003F6B1E"/>
    <w:rsid w:val="003F718F"/>
    <w:rsid w:val="00400648"/>
    <w:rsid w:val="004037C6"/>
    <w:rsid w:val="00404678"/>
    <w:rsid w:val="00404853"/>
    <w:rsid w:val="004068B1"/>
    <w:rsid w:val="00407829"/>
    <w:rsid w:val="00415511"/>
    <w:rsid w:val="0041783D"/>
    <w:rsid w:val="00422EDB"/>
    <w:rsid w:val="00423124"/>
    <w:rsid w:val="00424722"/>
    <w:rsid w:val="00426FCA"/>
    <w:rsid w:val="0042767C"/>
    <w:rsid w:val="004315F2"/>
    <w:rsid w:val="00435F5A"/>
    <w:rsid w:val="00441F15"/>
    <w:rsid w:val="004425D9"/>
    <w:rsid w:val="00443562"/>
    <w:rsid w:val="00444567"/>
    <w:rsid w:val="004471BA"/>
    <w:rsid w:val="00447BD6"/>
    <w:rsid w:val="004501F0"/>
    <w:rsid w:val="004504B9"/>
    <w:rsid w:val="0045496E"/>
    <w:rsid w:val="004573E5"/>
    <w:rsid w:val="004613D9"/>
    <w:rsid w:val="00463507"/>
    <w:rsid w:val="004703FF"/>
    <w:rsid w:val="00471831"/>
    <w:rsid w:val="00471FA3"/>
    <w:rsid w:val="0047633C"/>
    <w:rsid w:val="00477509"/>
    <w:rsid w:val="00477F2D"/>
    <w:rsid w:val="00480587"/>
    <w:rsid w:val="00481894"/>
    <w:rsid w:val="004871F8"/>
    <w:rsid w:val="00487354"/>
    <w:rsid w:val="00491AC8"/>
    <w:rsid w:val="00496C5F"/>
    <w:rsid w:val="00496E07"/>
    <w:rsid w:val="004A0243"/>
    <w:rsid w:val="004A2224"/>
    <w:rsid w:val="004A493D"/>
    <w:rsid w:val="004A494E"/>
    <w:rsid w:val="004A4CFF"/>
    <w:rsid w:val="004A5001"/>
    <w:rsid w:val="004A62B0"/>
    <w:rsid w:val="004B4025"/>
    <w:rsid w:val="004B6275"/>
    <w:rsid w:val="004C008F"/>
    <w:rsid w:val="004C0E10"/>
    <w:rsid w:val="004C36FE"/>
    <w:rsid w:val="004C5E77"/>
    <w:rsid w:val="004D1863"/>
    <w:rsid w:val="004D21F0"/>
    <w:rsid w:val="004D37C6"/>
    <w:rsid w:val="004D531F"/>
    <w:rsid w:val="004D7275"/>
    <w:rsid w:val="004E0D37"/>
    <w:rsid w:val="004E19E9"/>
    <w:rsid w:val="004E3D99"/>
    <w:rsid w:val="004E4A64"/>
    <w:rsid w:val="004E4DE5"/>
    <w:rsid w:val="004E53C7"/>
    <w:rsid w:val="004E5A28"/>
    <w:rsid w:val="004E7396"/>
    <w:rsid w:val="004E7948"/>
    <w:rsid w:val="004F09BA"/>
    <w:rsid w:val="004F4DD2"/>
    <w:rsid w:val="004F6727"/>
    <w:rsid w:val="00500347"/>
    <w:rsid w:val="00500BB8"/>
    <w:rsid w:val="00501093"/>
    <w:rsid w:val="00503000"/>
    <w:rsid w:val="00503FD7"/>
    <w:rsid w:val="005041A0"/>
    <w:rsid w:val="005057B2"/>
    <w:rsid w:val="00506E78"/>
    <w:rsid w:val="005072FC"/>
    <w:rsid w:val="0051045F"/>
    <w:rsid w:val="005171B8"/>
    <w:rsid w:val="005201A5"/>
    <w:rsid w:val="005236A0"/>
    <w:rsid w:val="00523B6E"/>
    <w:rsid w:val="0053575B"/>
    <w:rsid w:val="0053767C"/>
    <w:rsid w:val="005376C2"/>
    <w:rsid w:val="00543DF8"/>
    <w:rsid w:val="00544392"/>
    <w:rsid w:val="005448AB"/>
    <w:rsid w:val="00547826"/>
    <w:rsid w:val="00547F30"/>
    <w:rsid w:val="005508C5"/>
    <w:rsid w:val="00551882"/>
    <w:rsid w:val="00552CD2"/>
    <w:rsid w:val="0055378F"/>
    <w:rsid w:val="00553A06"/>
    <w:rsid w:val="00554492"/>
    <w:rsid w:val="00555C39"/>
    <w:rsid w:val="00561761"/>
    <w:rsid w:val="005630B6"/>
    <w:rsid w:val="00564249"/>
    <w:rsid w:val="00564284"/>
    <w:rsid w:val="005721FC"/>
    <w:rsid w:val="0057417A"/>
    <w:rsid w:val="005746B5"/>
    <w:rsid w:val="00577075"/>
    <w:rsid w:val="00577233"/>
    <w:rsid w:val="00580109"/>
    <w:rsid w:val="00582ECE"/>
    <w:rsid w:val="00584BF0"/>
    <w:rsid w:val="00584CDB"/>
    <w:rsid w:val="00584DE8"/>
    <w:rsid w:val="005868B5"/>
    <w:rsid w:val="00586DBA"/>
    <w:rsid w:val="005872B0"/>
    <w:rsid w:val="00587721"/>
    <w:rsid w:val="00590494"/>
    <w:rsid w:val="00591177"/>
    <w:rsid w:val="005919D1"/>
    <w:rsid w:val="005973D6"/>
    <w:rsid w:val="005A2854"/>
    <w:rsid w:val="005A328F"/>
    <w:rsid w:val="005A3683"/>
    <w:rsid w:val="005A3A5B"/>
    <w:rsid w:val="005A4D44"/>
    <w:rsid w:val="005A5776"/>
    <w:rsid w:val="005A6B4E"/>
    <w:rsid w:val="005A7852"/>
    <w:rsid w:val="005A7ECB"/>
    <w:rsid w:val="005B22B0"/>
    <w:rsid w:val="005B2B7C"/>
    <w:rsid w:val="005B3DDD"/>
    <w:rsid w:val="005B46C6"/>
    <w:rsid w:val="005B47AE"/>
    <w:rsid w:val="005B5C23"/>
    <w:rsid w:val="005C19E4"/>
    <w:rsid w:val="005C1F1E"/>
    <w:rsid w:val="005C37C4"/>
    <w:rsid w:val="005D085B"/>
    <w:rsid w:val="005D148D"/>
    <w:rsid w:val="005D375B"/>
    <w:rsid w:val="005D5589"/>
    <w:rsid w:val="005E0161"/>
    <w:rsid w:val="005E2C2F"/>
    <w:rsid w:val="005E346B"/>
    <w:rsid w:val="005E49A7"/>
    <w:rsid w:val="005E546A"/>
    <w:rsid w:val="005E7D48"/>
    <w:rsid w:val="005F06DF"/>
    <w:rsid w:val="005F1AF7"/>
    <w:rsid w:val="005F6057"/>
    <w:rsid w:val="005F6CA5"/>
    <w:rsid w:val="00601030"/>
    <w:rsid w:val="0060298A"/>
    <w:rsid w:val="006079E4"/>
    <w:rsid w:val="0061066B"/>
    <w:rsid w:val="00610D21"/>
    <w:rsid w:val="00612F22"/>
    <w:rsid w:val="00613443"/>
    <w:rsid w:val="00614266"/>
    <w:rsid w:val="0061640F"/>
    <w:rsid w:val="00617AB7"/>
    <w:rsid w:val="00620CDD"/>
    <w:rsid w:val="0062398E"/>
    <w:rsid w:val="0062436E"/>
    <w:rsid w:val="00624EEA"/>
    <w:rsid w:val="006278BF"/>
    <w:rsid w:val="00627D15"/>
    <w:rsid w:val="006322A0"/>
    <w:rsid w:val="00634656"/>
    <w:rsid w:val="00635811"/>
    <w:rsid w:val="006360FB"/>
    <w:rsid w:val="00636E99"/>
    <w:rsid w:val="006375A2"/>
    <w:rsid w:val="006412C4"/>
    <w:rsid w:val="006429AD"/>
    <w:rsid w:val="00642BD4"/>
    <w:rsid w:val="0064325E"/>
    <w:rsid w:val="00644810"/>
    <w:rsid w:val="00645EDC"/>
    <w:rsid w:val="00647AE7"/>
    <w:rsid w:val="0065327E"/>
    <w:rsid w:val="00653BC7"/>
    <w:rsid w:val="00654A74"/>
    <w:rsid w:val="00654D9F"/>
    <w:rsid w:val="0065515B"/>
    <w:rsid w:val="00660805"/>
    <w:rsid w:val="006608EF"/>
    <w:rsid w:val="006620DC"/>
    <w:rsid w:val="00662140"/>
    <w:rsid w:val="00662E09"/>
    <w:rsid w:val="00663254"/>
    <w:rsid w:val="00663CEA"/>
    <w:rsid w:val="0067012B"/>
    <w:rsid w:val="00670961"/>
    <w:rsid w:val="00675247"/>
    <w:rsid w:val="00675549"/>
    <w:rsid w:val="00676CF8"/>
    <w:rsid w:val="00680B5A"/>
    <w:rsid w:val="006811DE"/>
    <w:rsid w:val="00683103"/>
    <w:rsid w:val="00687114"/>
    <w:rsid w:val="0068733F"/>
    <w:rsid w:val="006924C7"/>
    <w:rsid w:val="00693EFF"/>
    <w:rsid w:val="00695C41"/>
    <w:rsid w:val="006A1E03"/>
    <w:rsid w:val="006A45EB"/>
    <w:rsid w:val="006A4692"/>
    <w:rsid w:val="006A5366"/>
    <w:rsid w:val="006A7E10"/>
    <w:rsid w:val="006B34DC"/>
    <w:rsid w:val="006B3B3D"/>
    <w:rsid w:val="006B49E7"/>
    <w:rsid w:val="006B4FDE"/>
    <w:rsid w:val="006B518A"/>
    <w:rsid w:val="006B528F"/>
    <w:rsid w:val="006B72C1"/>
    <w:rsid w:val="006B7FE5"/>
    <w:rsid w:val="006C1A41"/>
    <w:rsid w:val="006C3B31"/>
    <w:rsid w:val="006C40FE"/>
    <w:rsid w:val="006C5A17"/>
    <w:rsid w:val="006C7919"/>
    <w:rsid w:val="006C7BCE"/>
    <w:rsid w:val="006D11D5"/>
    <w:rsid w:val="006D1462"/>
    <w:rsid w:val="006D148A"/>
    <w:rsid w:val="006D1AFD"/>
    <w:rsid w:val="006D324C"/>
    <w:rsid w:val="006D549D"/>
    <w:rsid w:val="006D74F1"/>
    <w:rsid w:val="006D7AE9"/>
    <w:rsid w:val="006E079A"/>
    <w:rsid w:val="006E0BCC"/>
    <w:rsid w:val="006E1DA1"/>
    <w:rsid w:val="006E1DAF"/>
    <w:rsid w:val="006E2A73"/>
    <w:rsid w:val="006E3827"/>
    <w:rsid w:val="006E3A09"/>
    <w:rsid w:val="006E5A9A"/>
    <w:rsid w:val="006E5D90"/>
    <w:rsid w:val="006E6CCC"/>
    <w:rsid w:val="006E7FD0"/>
    <w:rsid w:val="006F0F53"/>
    <w:rsid w:val="006F1DA5"/>
    <w:rsid w:val="006F249D"/>
    <w:rsid w:val="006F29A7"/>
    <w:rsid w:val="006F2E0F"/>
    <w:rsid w:val="006F6635"/>
    <w:rsid w:val="006F751D"/>
    <w:rsid w:val="0070044A"/>
    <w:rsid w:val="00700B06"/>
    <w:rsid w:val="00706F5D"/>
    <w:rsid w:val="00711990"/>
    <w:rsid w:val="00711E70"/>
    <w:rsid w:val="00712BAE"/>
    <w:rsid w:val="007210BF"/>
    <w:rsid w:val="007212C7"/>
    <w:rsid w:val="00722B4F"/>
    <w:rsid w:val="00726BF8"/>
    <w:rsid w:val="00727474"/>
    <w:rsid w:val="0073577C"/>
    <w:rsid w:val="0073744A"/>
    <w:rsid w:val="007404F3"/>
    <w:rsid w:val="00742380"/>
    <w:rsid w:val="007427B5"/>
    <w:rsid w:val="007443F4"/>
    <w:rsid w:val="007465AD"/>
    <w:rsid w:val="007466FF"/>
    <w:rsid w:val="00746B94"/>
    <w:rsid w:val="00747391"/>
    <w:rsid w:val="007515B5"/>
    <w:rsid w:val="00751931"/>
    <w:rsid w:val="00753611"/>
    <w:rsid w:val="007540E8"/>
    <w:rsid w:val="00755B37"/>
    <w:rsid w:val="00761438"/>
    <w:rsid w:val="007631B5"/>
    <w:rsid w:val="00764452"/>
    <w:rsid w:val="0076545F"/>
    <w:rsid w:val="00770BB2"/>
    <w:rsid w:val="007739EB"/>
    <w:rsid w:val="00774663"/>
    <w:rsid w:val="0077558A"/>
    <w:rsid w:val="00776DF3"/>
    <w:rsid w:val="007843FB"/>
    <w:rsid w:val="00785F90"/>
    <w:rsid w:val="00791247"/>
    <w:rsid w:val="00791C16"/>
    <w:rsid w:val="00794CB0"/>
    <w:rsid w:val="00794FCA"/>
    <w:rsid w:val="007968CF"/>
    <w:rsid w:val="00797CEC"/>
    <w:rsid w:val="007A2BE2"/>
    <w:rsid w:val="007A5713"/>
    <w:rsid w:val="007A7D04"/>
    <w:rsid w:val="007B1022"/>
    <w:rsid w:val="007B23E8"/>
    <w:rsid w:val="007B35D4"/>
    <w:rsid w:val="007B5D5F"/>
    <w:rsid w:val="007C3EDE"/>
    <w:rsid w:val="007C4EFC"/>
    <w:rsid w:val="007D0F71"/>
    <w:rsid w:val="007D2E2D"/>
    <w:rsid w:val="007D7BAD"/>
    <w:rsid w:val="007E1256"/>
    <w:rsid w:val="007E2489"/>
    <w:rsid w:val="007E6B2A"/>
    <w:rsid w:val="007E6D43"/>
    <w:rsid w:val="007F27F6"/>
    <w:rsid w:val="007F3189"/>
    <w:rsid w:val="007F635F"/>
    <w:rsid w:val="00800459"/>
    <w:rsid w:val="0080119E"/>
    <w:rsid w:val="008024B7"/>
    <w:rsid w:val="0080252E"/>
    <w:rsid w:val="00802983"/>
    <w:rsid w:val="00802D91"/>
    <w:rsid w:val="0080418B"/>
    <w:rsid w:val="0081042A"/>
    <w:rsid w:val="0081440A"/>
    <w:rsid w:val="008207FC"/>
    <w:rsid w:val="00821159"/>
    <w:rsid w:val="00823E43"/>
    <w:rsid w:val="00824589"/>
    <w:rsid w:val="00825E64"/>
    <w:rsid w:val="008271AD"/>
    <w:rsid w:val="00831DD3"/>
    <w:rsid w:val="00832ABE"/>
    <w:rsid w:val="00835EFE"/>
    <w:rsid w:val="00836822"/>
    <w:rsid w:val="0083795F"/>
    <w:rsid w:val="00840264"/>
    <w:rsid w:val="008426FA"/>
    <w:rsid w:val="00845ADA"/>
    <w:rsid w:val="00845B46"/>
    <w:rsid w:val="00850FB5"/>
    <w:rsid w:val="008542A3"/>
    <w:rsid w:val="00862474"/>
    <w:rsid w:val="00862C88"/>
    <w:rsid w:val="00862CE9"/>
    <w:rsid w:val="0086569F"/>
    <w:rsid w:val="0086705A"/>
    <w:rsid w:val="00867FBC"/>
    <w:rsid w:val="008700B5"/>
    <w:rsid w:val="008701F9"/>
    <w:rsid w:val="00871428"/>
    <w:rsid w:val="008741E1"/>
    <w:rsid w:val="00874DB5"/>
    <w:rsid w:val="00876FA8"/>
    <w:rsid w:val="00877028"/>
    <w:rsid w:val="00877BC2"/>
    <w:rsid w:val="00877DC9"/>
    <w:rsid w:val="008823F2"/>
    <w:rsid w:val="008829C5"/>
    <w:rsid w:val="00892E6F"/>
    <w:rsid w:val="008936B0"/>
    <w:rsid w:val="00893956"/>
    <w:rsid w:val="008972B6"/>
    <w:rsid w:val="008A0715"/>
    <w:rsid w:val="008A14C6"/>
    <w:rsid w:val="008A5678"/>
    <w:rsid w:val="008A70A9"/>
    <w:rsid w:val="008B1579"/>
    <w:rsid w:val="008B24E9"/>
    <w:rsid w:val="008C04F0"/>
    <w:rsid w:val="008C093B"/>
    <w:rsid w:val="008C30F9"/>
    <w:rsid w:val="008D436D"/>
    <w:rsid w:val="008D5BC1"/>
    <w:rsid w:val="008D5C52"/>
    <w:rsid w:val="008D5FB6"/>
    <w:rsid w:val="008D6CD0"/>
    <w:rsid w:val="008D70EA"/>
    <w:rsid w:val="008D7BDC"/>
    <w:rsid w:val="008E00E2"/>
    <w:rsid w:val="008E1834"/>
    <w:rsid w:val="008E1E7A"/>
    <w:rsid w:val="008E22F7"/>
    <w:rsid w:val="008E2692"/>
    <w:rsid w:val="008E37A6"/>
    <w:rsid w:val="008E38F6"/>
    <w:rsid w:val="008E418E"/>
    <w:rsid w:val="008E51E8"/>
    <w:rsid w:val="008E7989"/>
    <w:rsid w:val="008F0793"/>
    <w:rsid w:val="008F1E5A"/>
    <w:rsid w:val="008F3005"/>
    <w:rsid w:val="008F4B2A"/>
    <w:rsid w:val="008F77FF"/>
    <w:rsid w:val="00901553"/>
    <w:rsid w:val="00903E07"/>
    <w:rsid w:val="009051B7"/>
    <w:rsid w:val="00905FBD"/>
    <w:rsid w:val="00907DB4"/>
    <w:rsid w:val="009132A5"/>
    <w:rsid w:val="00915B7C"/>
    <w:rsid w:val="0092105F"/>
    <w:rsid w:val="00923613"/>
    <w:rsid w:val="00924A7B"/>
    <w:rsid w:val="009252F5"/>
    <w:rsid w:val="009258A9"/>
    <w:rsid w:val="009273B8"/>
    <w:rsid w:val="0093124F"/>
    <w:rsid w:val="0094400D"/>
    <w:rsid w:val="00944DAA"/>
    <w:rsid w:val="00945512"/>
    <w:rsid w:val="0094630C"/>
    <w:rsid w:val="00947534"/>
    <w:rsid w:val="009510D2"/>
    <w:rsid w:val="009511A8"/>
    <w:rsid w:val="0095364B"/>
    <w:rsid w:val="00956EE9"/>
    <w:rsid w:val="00956F0E"/>
    <w:rsid w:val="0096089C"/>
    <w:rsid w:val="0096132A"/>
    <w:rsid w:val="009627B9"/>
    <w:rsid w:val="00972DB2"/>
    <w:rsid w:val="009730B5"/>
    <w:rsid w:val="00973771"/>
    <w:rsid w:val="00974138"/>
    <w:rsid w:val="00977645"/>
    <w:rsid w:val="00981F85"/>
    <w:rsid w:val="009830E6"/>
    <w:rsid w:val="00983187"/>
    <w:rsid w:val="009843E3"/>
    <w:rsid w:val="009875F2"/>
    <w:rsid w:val="00990F69"/>
    <w:rsid w:val="009919DD"/>
    <w:rsid w:val="00992079"/>
    <w:rsid w:val="00993504"/>
    <w:rsid w:val="009937B4"/>
    <w:rsid w:val="00993EF1"/>
    <w:rsid w:val="00997008"/>
    <w:rsid w:val="009A0073"/>
    <w:rsid w:val="009A1D4A"/>
    <w:rsid w:val="009A6135"/>
    <w:rsid w:val="009A7285"/>
    <w:rsid w:val="009B0596"/>
    <w:rsid w:val="009B1A01"/>
    <w:rsid w:val="009B2589"/>
    <w:rsid w:val="009B3D39"/>
    <w:rsid w:val="009B6D96"/>
    <w:rsid w:val="009B6E8F"/>
    <w:rsid w:val="009C11AC"/>
    <w:rsid w:val="009C378A"/>
    <w:rsid w:val="009C6D03"/>
    <w:rsid w:val="009C7BCA"/>
    <w:rsid w:val="009C7F80"/>
    <w:rsid w:val="009D1B90"/>
    <w:rsid w:val="009D26D5"/>
    <w:rsid w:val="009D2CAA"/>
    <w:rsid w:val="009D3BCB"/>
    <w:rsid w:val="009D629C"/>
    <w:rsid w:val="009D65F1"/>
    <w:rsid w:val="009D7B44"/>
    <w:rsid w:val="009E19A0"/>
    <w:rsid w:val="009E1D98"/>
    <w:rsid w:val="009E257B"/>
    <w:rsid w:val="009E2B8F"/>
    <w:rsid w:val="009E4D00"/>
    <w:rsid w:val="009E4E16"/>
    <w:rsid w:val="009E7736"/>
    <w:rsid w:val="009E7944"/>
    <w:rsid w:val="009F183E"/>
    <w:rsid w:val="009F1CE2"/>
    <w:rsid w:val="009F2DA3"/>
    <w:rsid w:val="009F4C6E"/>
    <w:rsid w:val="00A008D9"/>
    <w:rsid w:val="00A011B7"/>
    <w:rsid w:val="00A0227B"/>
    <w:rsid w:val="00A027BC"/>
    <w:rsid w:val="00A04A5C"/>
    <w:rsid w:val="00A11ED4"/>
    <w:rsid w:val="00A12A9C"/>
    <w:rsid w:val="00A15564"/>
    <w:rsid w:val="00A15E91"/>
    <w:rsid w:val="00A17195"/>
    <w:rsid w:val="00A24DF6"/>
    <w:rsid w:val="00A24FBD"/>
    <w:rsid w:val="00A269EA"/>
    <w:rsid w:val="00A30CFC"/>
    <w:rsid w:val="00A310DE"/>
    <w:rsid w:val="00A34210"/>
    <w:rsid w:val="00A367D1"/>
    <w:rsid w:val="00A430B0"/>
    <w:rsid w:val="00A4771E"/>
    <w:rsid w:val="00A478EA"/>
    <w:rsid w:val="00A51877"/>
    <w:rsid w:val="00A52DE0"/>
    <w:rsid w:val="00A53B05"/>
    <w:rsid w:val="00A558F0"/>
    <w:rsid w:val="00A55B5E"/>
    <w:rsid w:val="00A5673E"/>
    <w:rsid w:val="00A5733D"/>
    <w:rsid w:val="00A619CB"/>
    <w:rsid w:val="00A6595A"/>
    <w:rsid w:val="00A72D51"/>
    <w:rsid w:val="00A739E9"/>
    <w:rsid w:val="00A73EB9"/>
    <w:rsid w:val="00A755D9"/>
    <w:rsid w:val="00A75863"/>
    <w:rsid w:val="00A77226"/>
    <w:rsid w:val="00A8493D"/>
    <w:rsid w:val="00A85E7D"/>
    <w:rsid w:val="00A9055A"/>
    <w:rsid w:val="00A90ACF"/>
    <w:rsid w:val="00A91503"/>
    <w:rsid w:val="00A92827"/>
    <w:rsid w:val="00A92D1C"/>
    <w:rsid w:val="00A93316"/>
    <w:rsid w:val="00A93358"/>
    <w:rsid w:val="00A97670"/>
    <w:rsid w:val="00AA0724"/>
    <w:rsid w:val="00AA2891"/>
    <w:rsid w:val="00AA3249"/>
    <w:rsid w:val="00AA655F"/>
    <w:rsid w:val="00AA7CEC"/>
    <w:rsid w:val="00AB1E25"/>
    <w:rsid w:val="00AB21C6"/>
    <w:rsid w:val="00AB295E"/>
    <w:rsid w:val="00AB49B0"/>
    <w:rsid w:val="00AB5DE6"/>
    <w:rsid w:val="00AB64B2"/>
    <w:rsid w:val="00AB7D83"/>
    <w:rsid w:val="00AC0CA8"/>
    <w:rsid w:val="00AC25A3"/>
    <w:rsid w:val="00AC494E"/>
    <w:rsid w:val="00AC5123"/>
    <w:rsid w:val="00AD00A6"/>
    <w:rsid w:val="00AD0EF1"/>
    <w:rsid w:val="00AD108A"/>
    <w:rsid w:val="00AD13B2"/>
    <w:rsid w:val="00AD1D07"/>
    <w:rsid w:val="00AD2008"/>
    <w:rsid w:val="00AD2236"/>
    <w:rsid w:val="00AD2820"/>
    <w:rsid w:val="00AD4E8F"/>
    <w:rsid w:val="00AD517B"/>
    <w:rsid w:val="00AD59A4"/>
    <w:rsid w:val="00AD708B"/>
    <w:rsid w:val="00AD72CC"/>
    <w:rsid w:val="00AD78F9"/>
    <w:rsid w:val="00AD7E6F"/>
    <w:rsid w:val="00AE030D"/>
    <w:rsid w:val="00AE043C"/>
    <w:rsid w:val="00AE2041"/>
    <w:rsid w:val="00AE32B7"/>
    <w:rsid w:val="00AE528D"/>
    <w:rsid w:val="00AE5795"/>
    <w:rsid w:val="00AE584C"/>
    <w:rsid w:val="00AF0091"/>
    <w:rsid w:val="00AF1C65"/>
    <w:rsid w:val="00AF3BF8"/>
    <w:rsid w:val="00AF5443"/>
    <w:rsid w:val="00AF6475"/>
    <w:rsid w:val="00AF67D4"/>
    <w:rsid w:val="00B006CF"/>
    <w:rsid w:val="00B00AEF"/>
    <w:rsid w:val="00B01629"/>
    <w:rsid w:val="00B029FE"/>
    <w:rsid w:val="00B05319"/>
    <w:rsid w:val="00B06505"/>
    <w:rsid w:val="00B108BE"/>
    <w:rsid w:val="00B12FEA"/>
    <w:rsid w:val="00B14D70"/>
    <w:rsid w:val="00B16157"/>
    <w:rsid w:val="00B20686"/>
    <w:rsid w:val="00B20CEA"/>
    <w:rsid w:val="00B2104B"/>
    <w:rsid w:val="00B24620"/>
    <w:rsid w:val="00B247D8"/>
    <w:rsid w:val="00B247F8"/>
    <w:rsid w:val="00B2649E"/>
    <w:rsid w:val="00B338E1"/>
    <w:rsid w:val="00B349CE"/>
    <w:rsid w:val="00B35E10"/>
    <w:rsid w:val="00B36501"/>
    <w:rsid w:val="00B36636"/>
    <w:rsid w:val="00B36BFC"/>
    <w:rsid w:val="00B42989"/>
    <w:rsid w:val="00B43147"/>
    <w:rsid w:val="00B4458B"/>
    <w:rsid w:val="00B4597F"/>
    <w:rsid w:val="00B46051"/>
    <w:rsid w:val="00B5172F"/>
    <w:rsid w:val="00B53EBE"/>
    <w:rsid w:val="00B541FA"/>
    <w:rsid w:val="00B54839"/>
    <w:rsid w:val="00B55445"/>
    <w:rsid w:val="00B57431"/>
    <w:rsid w:val="00B611E0"/>
    <w:rsid w:val="00B620F0"/>
    <w:rsid w:val="00B6248B"/>
    <w:rsid w:val="00B63283"/>
    <w:rsid w:val="00B64A6F"/>
    <w:rsid w:val="00B65DC8"/>
    <w:rsid w:val="00B65F4B"/>
    <w:rsid w:val="00B711AD"/>
    <w:rsid w:val="00B712C8"/>
    <w:rsid w:val="00B72EC9"/>
    <w:rsid w:val="00B72F86"/>
    <w:rsid w:val="00B7449A"/>
    <w:rsid w:val="00B75965"/>
    <w:rsid w:val="00B76FC4"/>
    <w:rsid w:val="00B773E8"/>
    <w:rsid w:val="00B775D8"/>
    <w:rsid w:val="00B77FD9"/>
    <w:rsid w:val="00B81980"/>
    <w:rsid w:val="00B83017"/>
    <w:rsid w:val="00B86ADA"/>
    <w:rsid w:val="00B91A26"/>
    <w:rsid w:val="00B94502"/>
    <w:rsid w:val="00B94C72"/>
    <w:rsid w:val="00BA04BC"/>
    <w:rsid w:val="00BA0770"/>
    <w:rsid w:val="00BA0B56"/>
    <w:rsid w:val="00BA1662"/>
    <w:rsid w:val="00BA1978"/>
    <w:rsid w:val="00BA1A10"/>
    <w:rsid w:val="00BA1A29"/>
    <w:rsid w:val="00BA3D99"/>
    <w:rsid w:val="00BA5B52"/>
    <w:rsid w:val="00BA5EC9"/>
    <w:rsid w:val="00BB0138"/>
    <w:rsid w:val="00BB65F2"/>
    <w:rsid w:val="00BB6742"/>
    <w:rsid w:val="00BB690B"/>
    <w:rsid w:val="00BC3879"/>
    <w:rsid w:val="00BC4D20"/>
    <w:rsid w:val="00BC747C"/>
    <w:rsid w:val="00BC786E"/>
    <w:rsid w:val="00BD0EFD"/>
    <w:rsid w:val="00BD25C5"/>
    <w:rsid w:val="00BD2D0C"/>
    <w:rsid w:val="00BD2DEF"/>
    <w:rsid w:val="00BD3D55"/>
    <w:rsid w:val="00BD5822"/>
    <w:rsid w:val="00BD7F90"/>
    <w:rsid w:val="00BE07DC"/>
    <w:rsid w:val="00BE09A7"/>
    <w:rsid w:val="00BE2DCD"/>
    <w:rsid w:val="00BE3B19"/>
    <w:rsid w:val="00BE3E5A"/>
    <w:rsid w:val="00BE6DF1"/>
    <w:rsid w:val="00BF6FC1"/>
    <w:rsid w:val="00BF7742"/>
    <w:rsid w:val="00C00882"/>
    <w:rsid w:val="00C01DB7"/>
    <w:rsid w:val="00C028C6"/>
    <w:rsid w:val="00C03AA4"/>
    <w:rsid w:val="00C04145"/>
    <w:rsid w:val="00C07266"/>
    <w:rsid w:val="00C07680"/>
    <w:rsid w:val="00C10354"/>
    <w:rsid w:val="00C12B14"/>
    <w:rsid w:val="00C12F95"/>
    <w:rsid w:val="00C1363A"/>
    <w:rsid w:val="00C14603"/>
    <w:rsid w:val="00C15DAF"/>
    <w:rsid w:val="00C236AF"/>
    <w:rsid w:val="00C32738"/>
    <w:rsid w:val="00C345EA"/>
    <w:rsid w:val="00C34DCE"/>
    <w:rsid w:val="00C36B0E"/>
    <w:rsid w:val="00C36E0A"/>
    <w:rsid w:val="00C37E61"/>
    <w:rsid w:val="00C42FFD"/>
    <w:rsid w:val="00C45AC9"/>
    <w:rsid w:val="00C556AA"/>
    <w:rsid w:val="00C56D8B"/>
    <w:rsid w:val="00C616F0"/>
    <w:rsid w:val="00C63642"/>
    <w:rsid w:val="00C63A96"/>
    <w:rsid w:val="00C63B13"/>
    <w:rsid w:val="00C6618E"/>
    <w:rsid w:val="00C7106A"/>
    <w:rsid w:val="00C73BA8"/>
    <w:rsid w:val="00C746E9"/>
    <w:rsid w:val="00C756B4"/>
    <w:rsid w:val="00C75F0C"/>
    <w:rsid w:val="00C81F16"/>
    <w:rsid w:val="00C847FD"/>
    <w:rsid w:val="00C8499B"/>
    <w:rsid w:val="00C85CF1"/>
    <w:rsid w:val="00C864C7"/>
    <w:rsid w:val="00C91FC8"/>
    <w:rsid w:val="00C924C4"/>
    <w:rsid w:val="00C9264B"/>
    <w:rsid w:val="00C928DE"/>
    <w:rsid w:val="00C937F3"/>
    <w:rsid w:val="00C94B71"/>
    <w:rsid w:val="00C96168"/>
    <w:rsid w:val="00CA347C"/>
    <w:rsid w:val="00CA68C0"/>
    <w:rsid w:val="00CB043E"/>
    <w:rsid w:val="00CB04F7"/>
    <w:rsid w:val="00CB1191"/>
    <w:rsid w:val="00CB1D3A"/>
    <w:rsid w:val="00CB1FB9"/>
    <w:rsid w:val="00CB39A1"/>
    <w:rsid w:val="00CB5C5E"/>
    <w:rsid w:val="00CC0580"/>
    <w:rsid w:val="00CC2DCB"/>
    <w:rsid w:val="00CC2E2D"/>
    <w:rsid w:val="00CC3ABD"/>
    <w:rsid w:val="00CC4260"/>
    <w:rsid w:val="00CC5094"/>
    <w:rsid w:val="00CC59FC"/>
    <w:rsid w:val="00CD0A05"/>
    <w:rsid w:val="00CD0F97"/>
    <w:rsid w:val="00CD21A6"/>
    <w:rsid w:val="00CD266E"/>
    <w:rsid w:val="00CD3B7F"/>
    <w:rsid w:val="00CD5540"/>
    <w:rsid w:val="00CD567E"/>
    <w:rsid w:val="00CD733D"/>
    <w:rsid w:val="00CE297E"/>
    <w:rsid w:val="00CE3F02"/>
    <w:rsid w:val="00CE4119"/>
    <w:rsid w:val="00CE50D6"/>
    <w:rsid w:val="00CF0E32"/>
    <w:rsid w:val="00CF447F"/>
    <w:rsid w:val="00CF45C2"/>
    <w:rsid w:val="00CF4FC0"/>
    <w:rsid w:val="00D017F0"/>
    <w:rsid w:val="00D04E18"/>
    <w:rsid w:val="00D054DB"/>
    <w:rsid w:val="00D073EE"/>
    <w:rsid w:val="00D1004C"/>
    <w:rsid w:val="00D10E2C"/>
    <w:rsid w:val="00D12A76"/>
    <w:rsid w:val="00D130AE"/>
    <w:rsid w:val="00D13A5A"/>
    <w:rsid w:val="00D21AF3"/>
    <w:rsid w:val="00D22EC0"/>
    <w:rsid w:val="00D24514"/>
    <w:rsid w:val="00D25DCD"/>
    <w:rsid w:val="00D31AB0"/>
    <w:rsid w:val="00D3278A"/>
    <w:rsid w:val="00D35575"/>
    <w:rsid w:val="00D43FF5"/>
    <w:rsid w:val="00D46D98"/>
    <w:rsid w:val="00D46F9D"/>
    <w:rsid w:val="00D528EC"/>
    <w:rsid w:val="00D53B4B"/>
    <w:rsid w:val="00D53FE9"/>
    <w:rsid w:val="00D54E92"/>
    <w:rsid w:val="00D55211"/>
    <w:rsid w:val="00D5545A"/>
    <w:rsid w:val="00D63666"/>
    <w:rsid w:val="00D63958"/>
    <w:rsid w:val="00D6490B"/>
    <w:rsid w:val="00D653D2"/>
    <w:rsid w:val="00D665B6"/>
    <w:rsid w:val="00D66F93"/>
    <w:rsid w:val="00D736E7"/>
    <w:rsid w:val="00D73E00"/>
    <w:rsid w:val="00D73EF0"/>
    <w:rsid w:val="00D74B00"/>
    <w:rsid w:val="00D74E41"/>
    <w:rsid w:val="00D75A1A"/>
    <w:rsid w:val="00D76530"/>
    <w:rsid w:val="00D768FF"/>
    <w:rsid w:val="00D815C7"/>
    <w:rsid w:val="00D85BDA"/>
    <w:rsid w:val="00D87FDE"/>
    <w:rsid w:val="00D91694"/>
    <w:rsid w:val="00D93883"/>
    <w:rsid w:val="00D9432D"/>
    <w:rsid w:val="00D96CC6"/>
    <w:rsid w:val="00DA0775"/>
    <w:rsid w:val="00DA0B6A"/>
    <w:rsid w:val="00DA0C86"/>
    <w:rsid w:val="00DA1F27"/>
    <w:rsid w:val="00DA26E5"/>
    <w:rsid w:val="00DA3F7E"/>
    <w:rsid w:val="00DA5D2C"/>
    <w:rsid w:val="00DA75F7"/>
    <w:rsid w:val="00DA7B06"/>
    <w:rsid w:val="00DB247D"/>
    <w:rsid w:val="00DB25D2"/>
    <w:rsid w:val="00DB2DA6"/>
    <w:rsid w:val="00DB5227"/>
    <w:rsid w:val="00DB76BE"/>
    <w:rsid w:val="00DC01D9"/>
    <w:rsid w:val="00DC03EA"/>
    <w:rsid w:val="00DC1481"/>
    <w:rsid w:val="00DC6932"/>
    <w:rsid w:val="00DC7E9C"/>
    <w:rsid w:val="00DD0A4B"/>
    <w:rsid w:val="00DD1E19"/>
    <w:rsid w:val="00DD1EB8"/>
    <w:rsid w:val="00DD3398"/>
    <w:rsid w:val="00DD3E4B"/>
    <w:rsid w:val="00DD506C"/>
    <w:rsid w:val="00DD544A"/>
    <w:rsid w:val="00DD5BDC"/>
    <w:rsid w:val="00DE3C6D"/>
    <w:rsid w:val="00DE41E9"/>
    <w:rsid w:val="00DF2BA6"/>
    <w:rsid w:val="00DF2C98"/>
    <w:rsid w:val="00DF36EB"/>
    <w:rsid w:val="00DF38D7"/>
    <w:rsid w:val="00DF3AB2"/>
    <w:rsid w:val="00DF488E"/>
    <w:rsid w:val="00DF794E"/>
    <w:rsid w:val="00E0181A"/>
    <w:rsid w:val="00E047B6"/>
    <w:rsid w:val="00E1178E"/>
    <w:rsid w:val="00E16090"/>
    <w:rsid w:val="00E2087D"/>
    <w:rsid w:val="00E20993"/>
    <w:rsid w:val="00E20C22"/>
    <w:rsid w:val="00E21A37"/>
    <w:rsid w:val="00E2254C"/>
    <w:rsid w:val="00E24945"/>
    <w:rsid w:val="00E318D5"/>
    <w:rsid w:val="00E34980"/>
    <w:rsid w:val="00E364B1"/>
    <w:rsid w:val="00E373B7"/>
    <w:rsid w:val="00E37870"/>
    <w:rsid w:val="00E41096"/>
    <w:rsid w:val="00E44645"/>
    <w:rsid w:val="00E45101"/>
    <w:rsid w:val="00E45584"/>
    <w:rsid w:val="00E45D46"/>
    <w:rsid w:val="00E46BC9"/>
    <w:rsid w:val="00E46FEF"/>
    <w:rsid w:val="00E479E4"/>
    <w:rsid w:val="00E515E1"/>
    <w:rsid w:val="00E5197E"/>
    <w:rsid w:val="00E51BE2"/>
    <w:rsid w:val="00E5413E"/>
    <w:rsid w:val="00E57451"/>
    <w:rsid w:val="00E57C8B"/>
    <w:rsid w:val="00E6306F"/>
    <w:rsid w:val="00E6799C"/>
    <w:rsid w:val="00E67F8B"/>
    <w:rsid w:val="00E7109F"/>
    <w:rsid w:val="00E7225E"/>
    <w:rsid w:val="00E72A4B"/>
    <w:rsid w:val="00E72DAE"/>
    <w:rsid w:val="00E7430F"/>
    <w:rsid w:val="00E758F8"/>
    <w:rsid w:val="00E85C83"/>
    <w:rsid w:val="00E9291D"/>
    <w:rsid w:val="00E939E8"/>
    <w:rsid w:val="00E93F5D"/>
    <w:rsid w:val="00E95EAC"/>
    <w:rsid w:val="00EA0D20"/>
    <w:rsid w:val="00EA11EC"/>
    <w:rsid w:val="00EB3C98"/>
    <w:rsid w:val="00EC4578"/>
    <w:rsid w:val="00EC47A8"/>
    <w:rsid w:val="00ED0750"/>
    <w:rsid w:val="00ED3820"/>
    <w:rsid w:val="00ED5906"/>
    <w:rsid w:val="00ED6065"/>
    <w:rsid w:val="00EE0DA5"/>
    <w:rsid w:val="00EE27C2"/>
    <w:rsid w:val="00EE40AA"/>
    <w:rsid w:val="00EE4C46"/>
    <w:rsid w:val="00EE62AB"/>
    <w:rsid w:val="00EE7B65"/>
    <w:rsid w:val="00EF035F"/>
    <w:rsid w:val="00EF2522"/>
    <w:rsid w:val="00EF2C30"/>
    <w:rsid w:val="00EF34D3"/>
    <w:rsid w:val="00EF6292"/>
    <w:rsid w:val="00EF7722"/>
    <w:rsid w:val="00EF7D77"/>
    <w:rsid w:val="00F02EC3"/>
    <w:rsid w:val="00F031CA"/>
    <w:rsid w:val="00F04E7A"/>
    <w:rsid w:val="00F06EE2"/>
    <w:rsid w:val="00F10B52"/>
    <w:rsid w:val="00F13A44"/>
    <w:rsid w:val="00F148B5"/>
    <w:rsid w:val="00F166E9"/>
    <w:rsid w:val="00F20DE1"/>
    <w:rsid w:val="00F2161E"/>
    <w:rsid w:val="00F21C01"/>
    <w:rsid w:val="00F22603"/>
    <w:rsid w:val="00F25EFA"/>
    <w:rsid w:val="00F3270B"/>
    <w:rsid w:val="00F357AA"/>
    <w:rsid w:val="00F41D6B"/>
    <w:rsid w:val="00F430BA"/>
    <w:rsid w:val="00F450EE"/>
    <w:rsid w:val="00F52B89"/>
    <w:rsid w:val="00F52F2B"/>
    <w:rsid w:val="00F531E3"/>
    <w:rsid w:val="00F56E87"/>
    <w:rsid w:val="00F6042E"/>
    <w:rsid w:val="00F628C1"/>
    <w:rsid w:val="00F63D75"/>
    <w:rsid w:val="00F67C16"/>
    <w:rsid w:val="00F67D31"/>
    <w:rsid w:val="00F7160A"/>
    <w:rsid w:val="00F74D7E"/>
    <w:rsid w:val="00F74D9C"/>
    <w:rsid w:val="00F80B18"/>
    <w:rsid w:val="00F826CF"/>
    <w:rsid w:val="00F84797"/>
    <w:rsid w:val="00F904E7"/>
    <w:rsid w:val="00F90E65"/>
    <w:rsid w:val="00F92C7C"/>
    <w:rsid w:val="00F97208"/>
    <w:rsid w:val="00FA372F"/>
    <w:rsid w:val="00FA6B26"/>
    <w:rsid w:val="00FB1C80"/>
    <w:rsid w:val="00FB3506"/>
    <w:rsid w:val="00FB4951"/>
    <w:rsid w:val="00FB660A"/>
    <w:rsid w:val="00FB703B"/>
    <w:rsid w:val="00FC147D"/>
    <w:rsid w:val="00FC4BA6"/>
    <w:rsid w:val="00FC57C7"/>
    <w:rsid w:val="00FC5C56"/>
    <w:rsid w:val="00FC5DC8"/>
    <w:rsid w:val="00FC7B36"/>
    <w:rsid w:val="00FC7BCD"/>
    <w:rsid w:val="00FC7D11"/>
    <w:rsid w:val="00FD2049"/>
    <w:rsid w:val="00FD3A9F"/>
    <w:rsid w:val="00FD7242"/>
    <w:rsid w:val="00FD77A1"/>
    <w:rsid w:val="00FE00AD"/>
    <w:rsid w:val="00FE20FB"/>
    <w:rsid w:val="00FE2807"/>
    <w:rsid w:val="00FE3F2C"/>
    <w:rsid w:val="00FE4E2C"/>
    <w:rsid w:val="00FE5CAF"/>
    <w:rsid w:val="00FE70FF"/>
    <w:rsid w:val="00FE7AB1"/>
    <w:rsid w:val="00FF0377"/>
    <w:rsid w:val="00FF1270"/>
    <w:rsid w:val="00FF17B0"/>
    <w:rsid w:val="00FF183E"/>
    <w:rsid w:val="00FF186B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1AF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2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CF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CFC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B6D9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B4951"/>
    <w:rPr>
      <w:color w:val="0000FF" w:themeColor="hyperlink"/>
      <w:u w:val="single"/>
    </w:rPr>
  </w:style>
  <w:style w:type="paragraph" w:customStyle="1" w:styleId="ConsPlusNormal">
    <w:name w:val="ConsPlusNormal"/>
    <w:rsid w:val="0008057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D7653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6530"/>
    <w:rPr>
      <w:rFonts w:asciiTheme="minorHAnsi" w:eastAsiaTheme="minorHAnsi" w:hAnsiTheme="minorHAnsi" w:cstheme="minorBidi"/>
      <w:lang w:eastAsia="en-US"/>
    </w:rPr>
  </w:style>
  <w:style w:type="character" w:styleId="ae">
    <w:name w:val="footnote reference"/>
    <w:basedOn w:val="a0"/>
    <w:uiPriority w:val="99"/>
    <w:semiHidden/>
    <w:unhideWhenUsed/>
    <w:rsid w:val="00D76530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F04E7A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192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1AF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2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CF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CFC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B6D9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B4951"/>
    <w:rPr>
      <w:color w:val="0000FF" w:themeColor="hyperlink"/>
      <w:u w:val="single"/>
    </w:rPr>
  </w:style>
  <w:style w:type="paragraph" w:customStyle="1" w:styleId="ConsPlusNormal">
    <w:name w:val="ConsPlusNormal"/>
    <w:rsid w:val="0008057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D7653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6530"/>
    <w:rPr>
      <w:rFonts w:asciiTheme="minorHAnsi" w:eastAsiaTheme="minorHAnsi" w:hAnsiTheme="minorHAnsi" w:cstheme="minorBidi"/>
      <w:lang w:eastAsia="en-US"/>
    </w:rPr>
  </w:style>
  <w:style w:type="character" w:styleId="ae">
    <w:name w:val="footnote reference"/>
    <w:basedOn w:val="a0"/>
    <w:uiPriority w:val="99"/>
    <w:semiHidden/>
    <w:unhideWhenUsed/>
    <w:rsid w:val="00D76530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F04E7A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192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6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n.nso.ru/page/3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F87951-A116-45C4-BCFF-23659B72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Анатолий Викторович</dc:creator>
  <cp:lastModifiedBy>Фёдоров Владимир Фёдорович</cp:lastModifiedBy>
  <cp:revision>12</cp:revision>
  <cp:lastPrinted>2021-02-11T08:32:00Z</cp:lastPrinted>
  <dcterms:created xsi:type="dcterms:W3CDTF">2021-03-25T06:18:00Z</dcterms:created>
  <dcterms:modified xsi:type="dcterms:W3CDTF">2021-03-29T07:49:00Z</dcterms:modified>
</cp:coreProperties>
</file>