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95" w:rsidRPr="004F5334" w:rsidRDefault="00176249" w:rsidP="009F22AC">
      <w:pPr>
        <w:pStyle w:val="1"/>
        <w:spacing w:before="0" w:line="240" w:lineRule="auto"/>
        <w:jc w:val="center"/>
      </w:pPr>
      <w:r w:rsidRPr="00176249">
        <w:rPr>
          <w:rFonts w:ascii="Times New Roman" w:hAnsi="Times New Roman" w:cs="Times New Roman"/>
          <w:color w:val="000000" w:themeColor="text1"/>
        </w:rPr>
        <w:t>Анализ текущего состояния под</w:t>
      </w:r>
      <w:r w:rsidR="0092768F">
        <w:rPr>
          <w:rFonts w:ascii="Times New Roman" w:hAnsi="Times New Roman" w:cs="Times New Roman"/>
          <w:color w:val="000000" w:themeColor="text1"/>
        </w:rPr>
        <w:t>надзорной</w:t>
      </w:r>
      <w:r w:rsidRPr="00176249">
        <w:rPr>
          <w:rFonts w:ascii="Times New Roman" w:hAnsi="Times New Roman" w:cs="Times New Roman"/>
          <w:color w:val="000000" w:themeColor="text1"/>
        </w:rPr>
        <w:t xml:space="preserve"> среды, </w:t>
      </w:r>
      <w:r w:rsidR="00C870A5">
        <w:rPr>
          <w:rFonts w:ascii="Times New Roman" w:hAnsi="Times New Roman" w:cs="Times New Roman"/>
          <w:color w:val="000000" w:themeColor="text1"/>
        </w:rPr>
        <w:t xml:space="preserve">                                         </w:t>
      </w:r>
      <w:r w:rsidRPr="00176249">
        <w:rPr>
          <w:rFonts w:ascii="Times New Roman" w:hAnsi="Times New Roman" w:cs="Times New Roman"/>
          <w:color w:val="000000" w:themeColor="text1"/>
        </w:rPr>
        <w:t>описание текущего уровня развития профилактической деятельности инспекции государственного строительного надзора Новосибирской области по состоянию на 01.</w:t>
      </w:r>
      <w:r w:rsidR="00B10770">
        <w:rPr>
          <w:rFonts w:ascii="Times New Roman" w:hAnsi="Times New Roman" w:cs="Times New Roman"/>
          <w:color w:val="000000" w:themeColor="text1"/>
        </w:rPr>
        <w:t>0</w:t>
      </w:r>
      <w:r w:rsidR="0080228F">
        <w:rPr>
          <w:rFonts w:ascii="Times New Roman" w:hAnsi="Times New Roman" w:cs="Times New Roman"/>
          <w:color w:val="000000" w:themeColor="text1"/>
        </w:rPr>
        <w:t>7</w:t>
      </w:r>
      <w:r w:rsidRPr="00176249">
        <w:rPr>
          <w:rFonts w:ascii="Times New Roman" w:hAnsi="Times New Roman" w:cs="Times New Roman"/>
          <w:color w:val="000000" w:themeColor="text1"/>
        </w:rPr>
        <w:t>.202</w:t>
      </w:r>
      <w:r w:rsidR="00B10770">
        <w:rPr>
          <w:rFonts w:ascii="Times New Roman" w:hAnsi="Times New Roman" w:cs="Times New Roman"/>
          <w:color w:val="000000" w:themeColor="text1"/>
        </w:rPr>
        <w:t>1</w:t>
      </w:r>
    </w:p>
    <w:p w:rsidR="00867680" w:rsidRPr="004F5334" w:rsidRDefault="00867680" w:rsidP="00867680"/>
    <w:p w:rsidR="00867680" w:rsidRDefault="00867680" w:rsidP="00867680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видов и типов под</w:t>
      </w:r>
      <w:r w:rsidR="0092768F">
        <w:rPr>
          <w:rFonts w:ascii="Times New Roman" w:hAnsi="Times New Roman" w:cs="Times New Roman"/>
          <w:color w:val="000000" w:themeColor="text1"/>
          <w:sz w:val="28"/>
          <w:szCs w:val="28"/>
        </w:rPr>
        <w:t>надзорных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(субъектов)</w:t>
      </w:r>
    </w:p>
    <w:p w:rsidR="00867680" w:rsidRPr="004F5334" w:rsidRDefault="00867680" w:rsidP="00867680">
      <w:pPr>
        <w:spacing w:after="0" w:line="240" w:lineRule="auto"/>
      </w:pPr>
    </w:p>
    <w:p w:rsidR="007702C1" w:rsidRPr="005B72A7" w:rsidRDefault="007702C1" w:rsidP="00770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2A7">
        <w:rPr>
          <w:rFonts w:ascii="Times New Roman" w:hAnsi="Times New Roman" w:cs="Times New Roman"/>
          <w:sz w:val="28"/>
          <w:szCs w:val="28"/>
        </w:rPr>
        <w:t>В соответствии с частью 4 статьи 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B72A7">
          <w:rPr>
            <w:rFonts w:ascii="Times New Roman" w:hAnsi="Times New Roman" w:cs="Times New Roman"/>
            <w:sz w:val="28"/>
            <w:szCs w:val="28"/>
          </w:rPr>
          <w:t>Градостроительного кодекса Российской Федерации</w:t>
        </w:r>
      </w:hyperlink>
      <w:r w:rsidRPr="005B72A7">
        <w:rPr>
          <w:rFonts w:ascii="Times New Roman" w:hAnsi="Times New Roman" w:cs="Times New Roman"/>
          <w:sz w:val="28"/>
          <w:szCs w:val="28"/>
        </w:rPr>
        <w:t> </w:t>
      </w:r>
      <w:r w:rsidRPr="007702C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редакции Федерального закона от</w:t>
      </w:r>
      <w:r w:rsidRPr="00770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30.04.2021 </w:t>
      </w:r>
      <w:r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120-ФЗ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5B72A7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72A7">
        <w:rPr>
          <w:rFonts w:ascii="Times New Roman" w:hAnsi="Times New Roman" w:cs="Times New Roman"/>
          <w:sz w:val="28"/>
          <w:szCs w:val="28"/>
        </w:rPr>
        <w:t>– </w:t>
      </w:r>
      <w:hyperlink r:id="rId9" w:history="1">
        <w:r w:rsidRPr="005B72A7">
          <w:rPr>
            <w:rFonts w:ascii="Times New Roman" w:hAnsi="Times New Roman" w:cs="Times New Roman"/>
            <w:sz w:val="28"/>
            <w:szCs w:val="28"/>
          </w:rPr>
          <w:t>Гр</w:t>
        </w:r>
      </w:hyperlink>
      <w:r w:rsidRPr="005B72A7">
        <w:rPr>
          <w:rFonts w:ascii="Times New Roman" w:hAnsi="Times New Roman" w:cs="Times New Roman"/>
          <w:sz w:val="28"/>
          <w:szCs w:val="28"/>
        </w:rPr>
        <w:t>К РФ)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5B72A7">
          <w:rPr>
            <w:rFonts w:ascii="Times New Roman" w:hAnsi="Times New Roman" w:cs="Times New Roman"/>
            <w:sz w:val="28"/>
            <w:szCs w:val="28"/>
          </w:rPr>
          <w:t>оложением</w:t>
        </w:r>
      </w:hyperlink>
      <w:r w:rsidRPr="005B72A7">
        <w:rPr>
          <w:rFonts w:ascii="Times New Roman" w:hAnsi="Times New Roman" w:cs="Times New Roman"/>
          <w:sz w:val="28"/>
          <w:szCs w:val="28"/>
        </w:rPr>
        <w:t xml:space="preserve"> об инспекции государственного строительного надзора Новосибирской области, утвержденным постановлением Правительства Новосибирской области от 18.10.2016№ 342-п инспекция государственного строительного надзора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инспекция)</w:t>
      </w:r>
      <w:r w:rsidRPr="005B72A7">
        <w:rPr>
          <w:rFonts w:ascii="Times New Roman" w:hAnsi="Times New Roman" w:cs="Times New Roman"/>
          <w:sz w:val="28"/>
          <w:szCs w:val="28"/>
        </w:rPr>
        <w:t>, является областным исполнительным органом государственной власти Новосибирской области, уполномоченным на осуществление регионального государственного строительного надзора в случаях, предусмотренных ГрК РФ, иными федеральными законами.</w:t>
      </w:r>
    </w:p>
    <w:p w:rsidR="007702C1" w:rsidRPr="005B72A7" w:rsidRDefault="007702C1" w:rsidP="007702C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B72A7">
        <w:rPr>
          <w:rFonts w:eastAsiaTheme="minorHAnsi"/>
          <w:sz w:val="28"/>
          <w:szCs w:val="28"/>
          <w:lang w:eastAsia="en-US"/>
        </w:rPr>
        <w:t>В силу части 1 статьи 54 </w:t>
      </w:r>
      <w:hyperlink r:id="rId11" w:history="1">
        <w:r w:rsidRPr="005B72A7">
          <w:rPr>
            <w:rFonts w:eastAsiaTheme="minorHAnsi"/>
            <w:sz w:val="28"/>
            <w:szCs w:val="28"/>
            <w:lang w:eastAsia="en-US"/>
          </w:rPr>
          <w:t>ГрК</w:t>
        </w:r>
      </w:hyperlink>
      <w:r w:rsidRPr="005B72A7">
        <w:rPr>
          <w:rFonts w:eastAsiaTheme="minorHAnsi"/>
          <w:sz w:val="28"/>
          <w:szCs w:val="28"/>
          <w:lang w:eastAsia="en-US"/>
        </w:rPr>
        <w:t xml:space="preserve"> РФ поднадзорными объектами являются:</w:t>
      </w:r>
    </w:p>
    <w:p w:rsidR="007702C1" w:rsidRPr="005B72A7" w:rsidRDefault="007702C1" w:rsidP="00770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A7">
        <w:rPr>
          <w:rFonts w:ascii="Times New Roman" w:hAnsi="Times New Roman" w:cs="Times New Roman"/>
          <w:sz w:val="28"/>
          <w:szCs w:val="28"/>
        </w:rPr>
        <w:t>1) строящиеся объекты капитального строительства, проектная документация которых подлежит экспертизе в соответствии со статьей                49 </w:t>
      </w:r>
      <w:hyperlink r:id="rId12" w:history="1">
        <w:r w:rsidRPr="005B72A7">
          <w:rPr>
            <w:rFonts w:ascii="Times New Roman" w:hAnsi="Times New Roman" w:cs="Times New Roman"/>
            <w:sz w:val="28"/>
            <w:szCs w:val="28"/>
          </w:rPr>
          <w:t>Гр</w:t>
        </w:r>
      </w:hyperlink>
      <w:r w:rsidRPr="005B72A7">
        <w:rPr>
          <w:rFonts w:ascii="Times New Roman" w:hAnsi="Times New Roman" w:cs="Times New Roman"/>
          <w:sz w:val="28"/>
          <w:szCs w:val="28"/>
        </w:rPr>
        <w:t xml:space="preserve">К РФ , за исключением случая, предусмотренного </w:t>
      </w:r>
      <w:hyperlink r:id="rId13" w:history="1">
        <w:r w:rsidRPr="005B72A7">
          <w:rPr>
            <w:rFonts w:ascii="Times New Roman" w:hAnsi="Times New Roman" w:cs="Times New Roman"/>
            <w:sz w:val="28"/>
            <w:szCs w:val="28"/>
          </w:rPr>
          <w:t>частью 3.3 статьи 49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Pr="005B72A7">
          <w:rPr>
            <w:rFonts w:ascii="Times New Roman" w:hAnsi="Times New Roman" w:cs="Times New Roman"/>
            <w:sz w:val="28"/>
            <w:szCs w:val="28"/>
          </w:rPr>
          <w:t>ГрК</w:t>
        </w:r>
      </w:hyperlink>
      <w:r w:rsidRPr="005B72A7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7702C1" w:rsidRPr="005B72A7" w:rsidRDefault="007702C1" w:rsidP="00770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A7">
        <w:rPr>
          <w:rFonts w:ascii="Times New Roman" w:hAnsi="Times New Roman" w:cs="Times New Roman"/>
          <w:sz w:val="28"/>
          <w:szCs w:val="28"/>
        </w:rPr>
        <w:t>2) реконструируемые объекты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 том числе указанных работ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72A7">
        <w:rPr>
          <w:rFonts w:ascii="Times New Roman" w:hAnsi="Times New Roman" w:cs="Times New Roman"/>
          <w:sz w:val="28"/>
          <w:szCs w:val="28"/>
        </w:rPr>
        <w:t>сохранению объектов культурного наследия, подлежит экспертизе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72A7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15" w:history="1">
        <w:r w:rsidRPr="005B72A7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5B72A7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5B72A7">
          <w:rPr>
            <w:rFonts w:ascii="Times New Roman" w:hAnsi="Times New Roman" w:cs="Times New Roman"/>
            <w:sz w:val="28"/>
            <w:szCs w:val="28"/>
          </w:rPr>
          <w:t>ГрК</w:t>
        </w:r>
      </w:hyperlink>
      <w:r w:rsidRPr="005B72A7">
        <w:rPr>
          <w:rFonts w:ascii="Times New Roman" w:hAnsi="Times New Roman" w:cs="Times New Roman"/>
          <w:sz w:val="28"/>
          <w:szCs w:val="28"/>
        </w:rPr>
        <w:t xml:space="preserve"> РФ, за исключением случая, предусмотренного </w:t>
      </w:r>
      <w:hyperlink r:id="rId17" w:history="1">
        <w:r w:rsidRPr="005B72A7">
          <w:rPr>
            <w:rFonts w:ascii="Times New Roman" w:hAnsi="Times New Roman" w:cs="Times New Roman"/>
            <w:sz w:val="28"/>
            <w:szCs w:val="28"/>
          </w:rPr>
          <w:t>частью 3.3 статьи 49</w:t>
        </w:r>
      </w:hyperlink>
      <w:r w:rsidRPr="005B72A7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5B72A7">
          <w:rPr>
            <w:rFonts w:ascii="Times New Roman" w:hAnsi="Times New Roman" w:cs="Times New Roman"/>
            <w:sz w:val="28"/>
            <w:szCs w:val="28"/>
          </w:rPr>
          <w:t>ГрК</w:t>
        </w:r>
      </w:hyperlink>
      <w:r w:rsidRPr="005B72A7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7702C1" w:rsidRDefault="007702C1" w:rsidP="007702C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B72A7">
        <w:rPr>
          <w:rFonts w:eastAsiaTheme="minorHAnsi"/>
          <w:sz w:val="28"/>
          <w:szCs w:val="28"/>
          <w:lang w:eastAsia="en-US"/>
        </w:rPr>
        <w:t>3) строящиеся, реконструируемые объекты капитального строительства, не указанные в части 1 статьи 54 </w:t>
      </w:r>
      <w:hyperlink r:id="rId19" w:history="1">
        <w:r w:rsidRPr="005B72A7">
          <w:rPr>
            <w:rFonts w:eastAsiaTheme="minorHAnsi"/>
            <w:sz w:val="28"/>
            <w:szCs w:val="28"/>
            <w:lang w:eastAsia="en-US"/>
          </w:rPr>
          <w:t>ГрК</w:t>
        </w:r>
      </w:hyperlink>
      <w:r w:rsidRPr="005B72A7">
        <w:rPr>
          <w:rFonts w:eastAsiaTheme="minorHAnsi"/>
          <w:sz w:val="28"/>
          <w:szCs w:val="28"/>
          <w:lang w:eastAsia="en-US"/>
        </w:rPr>
        <w:t xml:space="preserve"> РФ, а также объекты капитального строительства, работы по строительству, реконструкции которых завершены (за исключением случая, если по завершении указанных работ получено разрешение на ввод объекта в эксплуатацию).</w:t>
      </w:r>
    </w:p>
    <w:p w:rsidR="00105AE7" w:rsidRDefault="00105AE7" w:rsidP="00105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A9">
        <w:rPr>
          <w:rFonts w:ascii="Times New Roman" w:hAnsi="Times New Roman" w:cs="Times New Roman"/>
          <w:sz w:val="28"/>
          <w:szCs w:val="28"/>
        </w:rPr>
        <w:t>По состоянию на 01.0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79A9">
        <w:rPr>
          <w:rFonts w:ascii="Times New Roman" w:hAnsi="Times New Roman" w:cs="Times New Roman"/>
          <w:sz w:val="28"/>
          <w:szCs w:val="28"/>
        </w:rPr>
        <w:t>.2021 инспекци</w:t>
      </w:r>
      <w:r>
        <w:rPr>
          <w:rFonts w:ascii="Times New Roman" w:hAnsi="Times New Roman" w:cs="Times New Roman"/>
          <w:sz w:val="28"/>
          <w:szCs w:val="28"/>
        </w:rPr>
        <w:t>я осуществляет региональный государственный строительный надзор в отношении 1</w:t>
      </w:r>
      <w:r w:rsidR="00901A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112 объектов капитального строительства, в том числе:</w:t>
      </w:r>
    </w:p>
    <w:p w:rsidR="00105AE7" w:rsidRDefault="00105AE7" w:rsidP="00105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4B">
        <w:rPr>
          <w:rFonts w:ascii="Times New Roman" w:hAnsi="Times New Roman" w:cs="Times New Roman"/>
          <w:sz w:val="28"/>
          <w:szCs w:val="28"/>
        </w:rPr>
        <w:t>542 многоквартирных жилых дом</w:t>
      </w:r>
      <w:r>
        <w:rPr>
          <w:rFonts w:ascii="Times New Roman" w:hAnsi="Times New Roman" w:cs="Times New Roman"/>
          <w:sz w:val="28"/>
          <w:szCs w:val="28"/>
        </w:rPr>
        <w:t>ов (406 дом</w:t>
      </w:r>
      <w:r w:rsidR="00901A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г. Новосибирске и 136 дом</w:t>
      </w:r>
      <w:r w:rsidR="00901A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Новосибирской области);</w:t>
      </w:r>
    </w:p>
    <w:p w:rsidR="00105AE7" w:rsidRDefault="00105AE7" w:rsidP="00105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460 нежилых объектов различного назначения (242 объекта </w:t>
      </w:r>
      <w:r w:rsidR="009F22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г. Новосибирске и 218 объектов в Новосибирской области);</w:t>
      </w:r>
    </w:p>
    <w:p w:rsidR="00105AE7" w:rsidRPr="000F764B" w:rsidRDefault="00105AE7" w:rsidP="00105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4B">
        <w:rPr>
          <w:rFonts w:ascii="Times New Roman" w:hAnsi="Times New Roman" w:cs="Times New Roman"/>
          <w:sz w:val="28"/>
          <w:szCs w:val="28"/>
        </w:rPr>
        <w:t>48 дорог и мостовых переходов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AE7" w:rsidRPr="000F764B" w:rsidRDefault="00105AE7" w:rsidP="00105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4B">
        <w:rPr>
          <w:rFonts w:ascii="Times New Roman" w:hAnsi="Times New Roman" w:cs="Times New Roman"/>
          <w:sz w:val="28"/>
          <w:szCs w:val="28"/>
        </w:rPr>
        <w:t>25 газопроводов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AE7" w:rsidRPr="000F764B" w:rsidRDefault="00105AE7" w:rsidP="00105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4B">
        <w:rPr>
          <w:rFonts w:ascii="Times New Roman" w:hAnsi="Times New Roman" w:cs="Times New Roman"/>
          <w:sz w:val="28"/>
          <w:szCs w:val="28"/>
        </w:rPr>
        <w:lastRenderedPageBreak/>
        <w:t>37 объектов тепловых сетей, сетей водопровода и канализации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Правила отнесения деятельности юридических лиц и индивидуальных предпринимателей и (или) используемых ими производственных объектов </w:t>
      </w:r>
      <w:r w:rsidR="0012572D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к определенной категории риска или определенному классу (категории) опасности, обозначаемому как классы опасности или категории опасности утверждены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17.08.2016 № 806 (далее – Правила).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4 Правил, </w:t>
      </w:r>
      <w:r w:rsidRPr="00F5740F">
        <w:rPr>
          <w:rFonts w:ascii="Times New Roman" w:hAnsi="Times New Roman"/>
          <w:sz w:val="28"/>
          <w:szCs w:val="28"/>
        </w:rPr>
        <w:t>критерии отнесения объектов государственного надзора к определенной категории риска, если такие критерии не установлены федеральным законом, устанавливаются с учетом Правил, для видов регионального государственного контроля (надзора) - нормативным правовым актом Правительства Российской Федерации, в случае его отсутствия – нормативным правовым актом высшего исполнительного органа государственной власти субъекта Российской Федерации.</w:t>
      </w:r>
    </w:p>
    <w:p w:rsidR="00867680" w:rsidRDefault="00867680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 01.01.2018 года п</w:t>
      </w:r>
      <w:r w:rsidRPr="001F2F28">
        <w:rPr>
          <w:rFonts w:ascii="Times New Roman" w:hAnsi="Times New Roman" w:cs="Times New Roman"/>
          <w:bCs/>
          <w:iCs/>
          <w:sz w:val="28"/>
          <w:szCs w:val="28"/>
        </w:rPr>
        <w:t>оложением об осуществлении государственного строительного надзора в Российской Федерации, утвержденн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1F2F28">
        <w:rPr>
          <w:rFonts w:ascii="Times New Roman" w:hAnsi="Times New Roman" w:cs="Times New Roman"/>
          <w:bCs/>
          <w:iCs/>
          <w:sz w:val="28"/>
          <w:szCs w:val="28"/>
        </w:rPr>
        <w:t>м  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1F2F28">
        <w:rPr>
          <w:rFonts w:ascii="Times New Roman" w:hAnsi="Times New Roman" w:cs="Times New Roman"/>
          <w:bCs/>
          <w:iCs/>
          <w:sz w:val="28"/>
          <w:szCs w:val="28"/>
        </w:rPr>
        <w:t>остановлением Правительства Российской Федерации от 01.02.2006 № 54 «О государственном строительном надзоре в Российской Федерации»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постановление Правительства РФ № 54) </w:t>
      </w:r>
      <w:r w:rsidRPr="001F2F28">
        <w:rPr>
          <w:rFonts w:ascii="Times New Roman" w:hAnsi="Times New Roman" w:cs="Times New Roman"/>
          <w:bCs/>
          <w:iCs/>
          <w:sz w:val="28"/>
          <w:szCs w:val="28"/>
        </w:rPr>
        <w:t>установлены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</w:t>
      </w:r>
      <w:r w:rsidRPr="001F2F28">
        <w:rPr>
          <w:rFonts w:ascii="Times New Roman" w:hAnsi="Times New Roman" w:cs="Times New Roman"/>
          <w:bCs/>
          <w:iCs/>
          <w:sz w:val="28"/>
          <w:szCs w:val="28"/>
        </w:rPr>
        <w:t>ритерии отнесения строящихся, реконструируемых объектов капитального строительства к категориям риска при осуществлении регионального государственного строительного надзора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67680" w:rsidRDefault="00867680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</w:t>
      </w:r>
      <w:r w:rsidR="0012572D">
        <w:rPr>
          <w:rFonts w:ascii="Times New Roman" w:hAnsi="Times New Roman" w:cs="Times New Roman"/>
          <w:bCs/>
          <w:iCs/>
          <w:sz w:val="28"/>
          <w:szCs w:val="28"/>
        </w:rPr>
        <w:t>пунктом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8(1) постановления Правительства Р</w:t>
      </w:r>
      <w:r w:rsidR="0012572D">
        <w:rPr>
          <w:rFonts w:ascii="Times New Roman" w:hAnsi="Times New Roman" w:cs="Times New Roman"/>
          <w:bCs/>
          <w:i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="0012572D">
        <w:rPr>
          <w:rFonts w:ascii="Times New Roman" w:hAnsi="Times New Roman" w:cs="Times New Roman"/>
          <w:bCs/>
          <w:iCs/>
          <w:sz w:val="28"/>
          <w:szCs w:val="28"/>
        </w:rPr>
        <w:t>едерации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№ 54 п</w:t>
      </w:r>
      <w:r w:rsidRPr="001F2F28">
        <w:rPr>
          <w:rFonts w:ascii="Times New Roman" w:hAnsi="Times New Roman" w:cs="Times New Roman"/>
          <w:bCs/>
          <w:iCs/>
          <w:sz w:val="28"/>
          <w:szCs w:val="28"/>
        </w:rPr>
        <w:t>рисвоение категории риска строящемуся, реконструируемому объекту капитального строительства осуществляется органом регионального государственного строительного надзора после поступления извещения о начале работ на таком объекте в соответствии с критериями отнесения строящихся, реконструируемых объектов капитального строительства к категориям риска при осуществлении регионального государственного строительного надзора согласно приложению с учетом сведений проектной документации, получившей положительное заключение экспертизы проектной документации, на основании соответствующего приказа (распоряжения) руководителя (заместителя руководителя) органа регионального государственного строительного надзора и</w:t>
      </w:r>
      <w:r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1F2F28">
        <w:rPr>
          <w:rFonts w:ascii="Times New Roman" w:hAnsi="Times New Roman" w:cs="Times New Roman"/>
          <w:bCs/>
          <w:iCs/>
          <w:sz w:val="28"/>
          <w:szCs w:val="28"/>
        </w:rPr>
        <w:t>отражается в программе проверок.</w:t>
      </w:r>
    </w:p>
    <w:p w:rsidR="00867680" w:rsidRPr="00867DA0" w:rsidRDefault="00867680" w:rsidP="008676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7DA0">
        <w:rPr>
          <w:rFonts w:ascii="Times New Roman" w:hAnsi="Times New Roman" w:cs="Times New Roman"/>
          <w:bCs/>
          <w:iCs/>
          <w:sz w:val="28"/>
          <w:szCs w:val="28"/>
        </w:rPr>
        <w:t>В соответствии с критерием тяжести потенциальных негативных последствий возможного несоблюдения юридическими лицами и</w:t>
      </w:r>
      <w:r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867DA0">
        <w:rPr>
          <w:rFonts w:ascii="Times New Roman" w:hAnsi="Times New Roman" w:cs="Times New Roman"/>
          <w:bCs/>
          <w:iCs/>
          <w:sz w:val="28"/>
          <w:szCs w:val="28"/>
        </w:rPr>
        <w:t>индивидуальными предпринимателями требований, установленных федеральными законами и принимаемыми в соответствии с ними иными нормативными правовыми актами Российской Федерации, при строительстве, реконструкции объектов капитального строительства такие объекты относятся к</w:t>
      </w:r>
      <w:r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867DA0">
        <w:rPr>
          <w:rFonts w:ascii="Times New Roman" w:hAnsi="Times New Roman" w:cs="Times New Roman"/>
          <w:bCs/>
          <w:iCs/>
          <w:sz w:val="28"/>
          <w:szCs w:val="28"/>
        </w:rPr>
        <w:t>следующим категориям риска:</w:t>
      </w:r>
    </w:p>
    <w:p w:rsidR="00867680" w:rsidRPr="00867DA0" w:rsidRDefault="00867680" w:rsidP="00AC2B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7DA0">
        <w:rPr>
          <w:rFonts w:ascii="Times New Roman" w:hAnsi="Times New Roman" w:cs="Times New Roman"/>
          <w:b/>
          <w:bCs/>
          <w:iCs/>
          <w:sz w:val="28"/>
          <w:szCs w:val="28"/>
        </w:rPr>
        <w:t>высокий риск</w:t>
      </w:r>
      <w:r w:rsidRPr="00867DA0">
        <w:rPr>
          <w:rFonts w:ascii="Times New Roman" w:hAnsi="Times New Roman" w:cs="Times New Roman"/>
          <w:bCs/>
          <w:iCs/>
          <w:sz w:val="28"/>
          <w:szCs w:val="28"/>
        </w:rPr>
        <w:t xml:space="preserve"> - 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метров;</w:t>
      </w:r>
    </w:p>
    <w:p w:rsidR="00867680" w:rsidRPr="00867DA0" w:rsidRDefault="00867680" w:rsidP="00AC2B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7DA0">
        <w:rPr>
          <w:rFonts w:ascii="Times New Roman" w:hAnsi="Times New Roman" w:cs="Times New Roman"/>
          <w:b/>
          <w:bCs/>
          <w:iCs/>
          <w:sz w:val="28"/>
          <w:szCs w:val="28"/>
        </w:rPr>
        <w:t>значительный риск</w:t>
      </w:r>
      <w:r w:rsidRPr="00867DA0">
        <w:rPr>
          <w:rFonts w:ascii="Times New Roman" w:hAnsi="Times New Roman" w:cs="Times New Roman"/>
          <w:bCs/>
          <w:iCs/>
          <w:sz w:val="28"/>
          <w:szCs w:val="28"/>
        </w:rPr>
        <w:t xml:space="preserve"> - производственные здания;</w:t>
      </w:r>
    </w:p>
    <w:p w:rsidR="00867680" w:rsidRDefault="00867680" w:rsidP="00477C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7DA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умеренный риск</w:t>
      </w:r>
      <w:r w:rsidRPr="00867DA0">
        <w:rPr>
          <w:rFonts w:ascii="Times New Roman" w:hAnsi="Times New Roman" w:cs="Times New Roman"/>
          <w:bCs/>
          <w:iCs/>
          <w:sz w:val="28"/>
          <w:szCs w:val="28"/>
        </w:rPr>
        <w:t xml:space="preserve"> - объекты капитального строительства, не указанные в</w:t>
      </w:r>
      <w:r>
        <w:rPr>
          <w:rFonts w:ascii="Times New Roman" w:hAnsi="Times New Roman" w:cs="Times New Roman"/>
          <w:bCs/>
          <w:iCs/>
          <w:sz w:val="28"/>
          <w:szCs w:val="28"/>
        </w:rPr>
        <w:t> группах высокого и значительного риска</w:t>
      </w:r>
      <w:r w:rsidRPr="00867DA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67680" w:rsidRDefault="00AB2B29" w:rsidP="008676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67680" w:rsidRPr="0037160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67680">
        <w:rPr>
          <w:rFonts w:ascii="Times New Roman" w:hAnsi="Times New Roman" w:cs="Times New Roman"/>
          <w:sz w:val="28"/>
          <w:szCs w:val="28"/>
        </w:rPr>
        <w:t xml:space="preserve"> категорий риска и критерии отнесения к ним объектов государственного надзора основываются на необходимости минимизации причинения вреда охраняемым законом ценностям при оптимальном использовании материальных, финансовых и кадровых ресурсов инспекции, позволяющем соблюдать установленную периодичность проверок юридических лиц и индивидуальных предпринимателей.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1A1">
        <w:rPr>
          <w:rFonts w:ascii="Times New Roman" w:hAnsi="Times New Roman" w:cs="Times New Roman"/>
          <w:bCs/>
          <w:iCs/>
          <w:sz w:val="28"/>
          <w:szCs w:val="28"/>
        </w:rPr>
        <w:t xml:space="preserve">Распределение </w:t>
      </w:r>
      <w:r w:rsidRPr="006751A1">
        <w:rPr>
          <w:rFonts w:ascii="Times New Roman" w:hAnsi="Times New Roman" w:cs="Times New Roman"/>
          <w:sz w:val="28"/>
          <w:szCs w:val="28"/>
        </w:rPr>
        <w:t xml:space="preserve">объектов государственного надзора по категориям риска по состоянию </w:t>
      </w:r>
      <w:r w:rsidRPr="00695240">
        <w:rPr>
          <w:rFonts w:ascii="Times New Roman" w:hAnsi="Times New Roman" w:cs="Times New Roman"/>
          <w:sz w:val="28"/>
          <w:szCs w:val="28"/>
        </w:rPr>
        <w:t>на 01.</w:t>
      </w:r>
      <w:r w:rsidR="006163D6" w:rsidRPr="00695240">
        <w:rPr>
          <w:rFonts w:ascii="Times New Roman" w:hAnsi="Times New Roman" w:cs="Times New Roman"/>
          <w:sz w:val="28"/>
          <w:szCs w:val="28"/>
        </w:rPr>
        <w:t>0</w:t>
      </w:r>
      <w:r w:rsidR="00464772" w:rsidRPr="00695240">
        <w:rPr>
          <w:rFonts w:ascii="Times New Roman" w:hAnsi="Times New Roman" w:cs="Times New Roman"/>
          <w:sz w:val="28"/>
          <w:szCs w:val="28"/>
        </w:rPr>
        <w:t>7</w:t>
      </w:r>
      <w:r w:rsidRPr="00695240">
        <w:rPr>
          <w:rFonts w:ascii="Times New Roman" w:hAnsi="Times New Roman" w:cs="Times New Roman"/>
          <w:sz w:val="28"/>
          <w:szCs w:val="28"/>
        </w:rPr>
        <w:t>.202</w:t>
      </w:r>
      <w:r w:rsidR="006163D6" w:rsidRPr="00695240">
        <w:rPr>
          <w:rFonts w:ascii="Times New Roman" w:hAnsi="Times New Roman" w:cs="Times New Roman"/>
          <w:sz w:val="28"/>
          <w:szCs w:val="28"/>
        </w:rPr>
        <w:t>1</w:t>
      </w:r>
      <w:r w:rsidRPr="006751A1">
        <w:rPr>
          <w:rFonts w:ascii="Times New Roman" w:hAnsi="Times New Roman" w:cs="Times New Roman"/>
          <w:sz w:val="28"/>
          <w:szCs w:val="28"/>
        </w:rPr>
        <w:t xml:space="preserve"> приведено на рисунке 1</w:t>
      </w:r>
      <w:r w:rsidRPr="006751A1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6751A1">
        <w:rPr>
          <w:rFonts w:ascii="Times New Roman" w:hAnsi="Times New Roman" w:cs="Times New Roman"/>
          <w:sz w:val="28"/>
          <w:szCs w:val="28"/>
        </w:rPr>
        <w:t>.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680" w:rsidRDefault="00901AB8" w:rsidP="0086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18B581" wp14:editId="5AA4E7B0">
            <wp:extent cx="6271709" cy="2743200"/>
            <wp:effectExtent l="0" t="0" r="1524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риск-ориентированного подхода при осуществлении регионального государственного строительного надзора должно привести, к снижению числа проверок на добросовестных участников рынка, деятельность которых не несет значимой угрозы охраняемым законом ценностям. При этом должно быть обеспечено сохранение или даже повышение уровня защиты охраняемых законом ценностей в сфере государственного управления.</w:t>
      </w:r>
    </w:p>
    <w:p w:rsidR="00867680" w:rsidRPr="00336251" w:rsidRDefault="0092768F" w:rsidP="008676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Поднадзорными</w:t>
      </w:r>
      <w:r w:rsidR="00867680"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субъектами </w:t>
      </w:r>
      <w:r w:rsidR="00867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инспекцией регионального государственного строительного надзора </w:t>
      </w:r>
      <w:r w:rsidR="00867680"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86768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1)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застройщик:</w:t>
      </w:r>
    </w:p>
    <w:p w:rsidR="00867680" w:rsidRPr="00AC2EB7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C2EB7">
        <w:rPr>
          <w:rFonts w:ascii="Times New Roman" w:hAnsi="Times New Roman" w:cs="Times New Roman"/>
          <w:sz w:val="28"/>
          <w:szCs w:val="28"/>
        </w:rPr>
        <w:t xml:space="preserve"> соответствии с частью 16 статьи 1 ГрК РФ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C2EB7">
        <w:rPr>
          <w:rFonts w:ascii="Times New Roman" w:hAnsi="Times New Roman" w:cs="Times New Roman"/>
          <w:sz w:val="28"/>
          <w:szCs w:val="28"/>
        </w:rPr>
        <w:t>физическое или юридическое лицо, обеспечивающее на принадлежащем ему земельном участке или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 xml:space="preserve">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«Росатом», Государственная корпорация по космической деятельности «Роскосмос», органы управления государственными внебюджетными фондами </w:t>
      </w:r>
      <w:r w:rsidRPr="00AC2EB7">
        <w:rPr>
          <w:rFonts w:ascii="Times New Roman" w:hAnsi="Times New Roman" w:cs="Times New Roman"/>
          <w:sz w:val="28"/>
          <w:szCs w:val="28"/>
        </w:rPr>
        <w:lastRenderedPageBreak/>
        <w:t>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22" w:history="1">
        <w:r w:rsidRPr="002A082F">
          <w:rPr>
            <w:rFonts w:ascii="Times New Roman" w:hAnsi="Times New Roman" w:cs="Times New Roman"/>
            <w:sz w:val="28"/>
            <w:szCs w:val="28"/>
          </w:rPr>
          <w:t>статьей 13.3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Федерального закона от 29 июля 2017 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AC2EB7">
        <w:rPr>
          <w:rFonts w:ascii="Times New Roman" w:hAnsi="Times New Roman" w:cs="Times New Roman"/>
          <w:sz w:val="28"/>
          <w:szCs w:val="28"/>
        </w:rPr>
        <w:t>№ 218-ФЗ «О публично-правовой компании по защите прав граждан - участников долевого строительства при несостоятельности (банкротстве) застройщиков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Федерации»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заказчику;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2)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технический заказчик:</w:t>
      </w:r>
    </w:p>
    <w:p w:rsidR="00867680" w:rsidRPr="00AC2EB7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AC2EB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статьи 1 ГрК РФ – </w:t>
      </w:r>
      <w:r w:rsidRPr="00AC2EB7">
        <w:rPr>
          <w:rFonts w:ascii="Times New Roman" w:hAnsi="Times New Roman" w:cs="Times New Roman"/>
          <w:sz w:val="28"/>
          <w:szCs w:val="28"/>
        </w:rPr>
        <w:t>юридическое лицо, которое уполномочено застройщиком и от имени застройщика заключает договоры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выполнении инженерных изысканий, о подготовке проектной документации,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строительстве, реконструкции, капитальном ремонте, сносе объектов капитального строительства, подготавливает задания на выполнение указанных видов работ,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 объектов капитального строительства, материалы и документы, необходимые для выполнения указанных видов работ, утверждает проектную документацию, подписывает документы, необходимые для получения разрешения на ввод объекта капитального строительства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 xml:space="preserve">эксплуатацию, осуществляет иные функции, предусмотренные законодательством о градостроительной деятельности (далее также - функции технического заказчика). Функции технического заказчика могут выполняться только членом соответственно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за исключением случаев, предусмотренных </w:t>
      </w:r>
      <w:hyperlink r:id="rId23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2.1 статьи 47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4.1 статьи 48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2.1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EF5806">
          <w:rPr>
            <w:rFonts w:ascii="Times New Roman" w:hAnsi="Times New Roman" w:cs="Times New Roman"/>
            <w:sz w:val="28"/>
            <w:szCs w:val="28"/>
          </w:rPr>
          <w:t>2.2 статьи 52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EF5806">
          <w:rPr>
            <w:rFonts w:ascii="Times New Roman" w:hAnsi="Times New Roman" w:cs="Times New Roman"/>
            <w:sz w:val="28"/>
            <w:szCs w:val="28"/>
          </w:rPr>
          <w:t>6 статьи 55.31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ГрК РФ.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3)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лицо, осуществляющее строительство</w:t>
      </w:r>
      <w:r w:rsidRPr="004F5334">
        <w:rPr>
          <w:rFonts w:ascii="Times New Roman" w:hAnsi="Times New Roman" w:cs="Times New Roman"/>
          <w:b/>
          <w:sz w:val="28"/>
          <w:szCs w:val="28"/>
        </w:rPr>
        <w:t xml:space="preserve">, реконструкцию, капитальный ремонт объекта капитального строительства </w:t>
      </w:r>
      <w:r w:rsidRPr="004F5334">
        <w:rPr>
          <w:rFonts w:ascii="Times New Roman" w:hAnsi="Times New Roman" w:cs="Times New Roman"/>
          <w:sz w:val="28"/>
          <w:szCs w:val="28"/>
        </w:rPr>
        <w:t>(далее - лицо, осуществляющее строительство)</w:t>
      </w:r>
      <w:r w:rsidRPr="004F5334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в соответствии с частью 3 статьи 52 ГрК РФ л</w:t>
      </w:r>
      <w:r>
        <w:rPr>
          <w:rFonts w:ascii="Times New Roman" w:hAnsi="Times New Roman" w:cs="Times New Roman"/>
          <w:sz w:val="28"/>
          <w:szCs w:val="28"/>
        </w:rPr>
        <w:t xml:space="preserve">ицом, осуществляющим строительство, могут являться застройщик либо индивидуальный предприниматель или юридическое лицо, заключившие договор строительного подряда. 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 (или) информационной модели (в случае, если формирование и ведение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информационной модели являются обязательными в соответствии с требованиями ГрК РФ).</w:t>
      </w:r>
    </w:p>
    <w:p w:rsidR="00867680" w:rsidRPr="00BE1B75" w:rsidRDefault="00867680" w:rsidP="00867680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1.2. Статистические показатели состояния под</w:t>
      </w:r>
      <w:r w:rsidR="0092768F">
        <w:rPr>
          <w:rFonts w:ascii="Times New Roman" w:hAnsi="Times New Roman" w:cs="Times New Roman"/>
          <w:color w:val="000000" w:themeColor="text1"/>
          <w:sz w:val="28"/>
          <w:szCs w:val="28"/>
        </w:rPr>
        <w:t>надзор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ной сферы</w:t>
      </w:r>
    </w:p>
    <w:p w:rsidR="007702C1" w:rsidRPr="00B54A04" w:rsidRDefault="007702C1" w:rsidP="007702C1">
      <w:pPr>
        <w:pStyle w:val="a6"/>
        <w:ind w:left="50" w:firstLine="69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Региональный государственный строительный надзор осуществляется посредством организации и проведения проверок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поднадзорных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субъектов. </w:t>
      </w:r>
    </w:p>
    <w:p w:rsidR="007702C1" w:rsidRPr="00B54A04" w:rsidRDefault="007702C1" w:rsidP="00770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A04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54 ГрК РФ предметом государственного строительного надзора в отношении объектов капитального строительства, указанных в </w:t>
      </w:r>
      <w:hyperlink r:id="rId29" w:history="1">
        <w:r w:rsidRPr="00B54A04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B54A04">
        <w:rPr>
          <w:rFonts w:ascii="Times New Roman" w:hAnsi="Times New Roman" w:cs="Times New Roman"/>
          <w:sz w:val="28"/>
          <w:szCs w:val="28"/>
        </w:rPr>
        <w:t xml:space="preserve"> статьи 54 ГрК РФ, является проверка: </w:t>
      </w:r>
    </w:p>
    <w:p w:rsidR="007702C1" w:rsidRPr="00B54A04" w:rsidRDefault="007702C1" w:rsidP="007702C1">
      <w:pPr>
        <w:pStyle w:val="a6"/>
        <w:ind w:left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соответствия выполнения работ и применяемых строительных материалов в процессе строительства, реконструкции объекта капитального строительства, 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результатов таких работ требованиям утвержденной в соответствии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частями 15, 15.2 и 15.3 статьи 48 ГрК РФ проектной документации (с учетом изменений, внесенных в проектную документацию в соответствии с частями 3.8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>3.9 статьи 49 ГрК РФ) и (или) информационной модели (в случае, если формирование и ведение информационной модели являются обязательными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требованиями ГрК РФ), в том числе требованиям энергетической эффективности (за исключением объектов капитального строительства,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которые требования энергетической эффективности не распространяются) и</w:t>
      </w:r>
      <w:r>
        <w:t> 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требованиям оснащенности объекта капитального строительства приборами учета используемых энергетических ресурсов; </w:t>
      </w:r>
    </w:p>
    <w:p w:rsidR="007702C1" w:rsidRDefault="007702C1" w:rsidP="007702C1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наличия разрешения на строительство; </w:t>
      </w:r>
    </w:p>
    <w:p w:rsidR="007702C1" w:rsidRPr="00B54A04" w:rsidRDefault="007702C1" w:rsidP="007702C1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выполнения требований, установленных частями 2, 3 и 3.1 статьи 52 ГрК РФ.</w:t>
      </w:r>
    </w:p>
    <w:p w:rsidR="007702C1" w:rsidRDefault="007702C1" w:rsidP="007702C1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4A04"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в отношении объектов, указанных в </w:t>
      </w:r>
      <w:hyperlink r:id="rId30" w:history="1">
        <w:r w:rsidRPr="00B54A04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B54A04">
        <w:rPr>
          <w:rFonts w:ascii="Times New Roman" w:hAnsi="Times New Roman" w:cs="Times New Roman"/>
          <w:sz w:val="28"/>
          <w:szCs w:val="28"/>
        </w:rPr>
        <w:t xml:space="preserve"> статьи 54 ГрК РФ, являются проверка наличия разрешения на строительство и соответствия объекта капитального строительства требованиям, указанным в разрешении на строительство, а в случае, если для строительства или реконструкции объекта капитального строительства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4A04">
        <w:rPr>
          <w:rFonts w:ascii="Times New Roman" w:hAnsi="Times New Roman" w:cs="Times New Roman"/>
          <w:sz w:val="28"/>
          <w:szCs w:val="28"/>
        </w:rPr>
        <w:t>требуется выдача разрешения на строительство, проверка 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4A04">
        <w:rPr>
          <w:rFonts w:ascii="Times New Roman" w:hAnsi="Times New Roman" w:cs="Times New Roman"/>
          <w:sz w:val="28"/>
          <w:szCs w:val="28"/>
        </w:rPr>
        <w:t xml:space="preserve">параметрам объектов капитального строительства, установленным </w:t>
      </w:r>
      <w:r w:rsidRPr="00BF170A">
        <w:rPr>
          <w:rFonts w:ascii="Times New Roman" w:hAnsi="Times New Roman" w:cs="Times New Roman"/>
          <w:sz w:val="28"/>
          <w:szCs w:val="28"/>
        </w:rPr>
        <w:t>ГрК РФ</w:t>
      </w:r>
      <w:r w:rsidRPr="00B54A04">
        <w:rPr>
          <w:rFonts w:ascii="Times New Roman" w:hAnsi="Times New Roman" w:cs="Times New Roman"/>
          <w:sz w:val="28"/>
          <w:szCs w:val="28"/>
        </w:rPr>
        <w:t>, другими федеральными законами.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4A04">
        <w:rPr>
          <w:rFonts w:ascii="Times New Roman" w:hAnsi="Times New Roman" w:cs="Times New Roman"/>
          <w:sz w:val="28"/>
          <w:szCs w:val="28"/>
        </w:rPr>
        <w:t>предъявлению служебного удостоверения и копии приказа (распоряжения) органа государственного строительного надзора о назначении соответствующей проверки.</w:t>
      </w:r>
    </w:p>
    <w:p w:rsidR="00867680" w:rsidRPr="00A2022D" w:rsidRDefault="00867680" w:rsidP="00931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22D">
        <w:rPr>
          <w:rFonts w:ascii="Times New Roman" w:hAnsi="Times New Roman" w:cs="Times New Roman"/>
          <w:sz w:val="28"/>
          <w:szCs w:val="28"/>
        </w:rPr>
        <w:t xml:space="preserve">С 01.01.2018 организация проверок при осуществлении регионального государственного строительного надзора осуществляется с применением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A2022D">
        <w:rPr>
          <w:rFonts w:ascii="Times New Roman" w:hAnsi="Times New Roman" w:cs="Times New Roman"/>
          <w:sz w:val="28"/>
          <w:szCs w:val="28"/>
        </w:rPr>
        <w:t>риск-ориентированного подхода.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022D">
        <w:rPr>
          <w:rFonts w:ascii="Times New Roman" w:hAnsi="Times New Roman" w:cs="Times New Roman"/>
          <w:sz w:val="28"/>
          <w:szCs w:val="28"/>
        </w:rPr>
        <w:t>рограмма проверок составляется с учетом категории риска 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A2022D">
        <w:rPr>
          <w:rFonts w:ascii="Times New Roman" w:hAnsi="Times New Roman" w:cs="Times New Roman"/>
          <w:sz w:val="28"/>
          <w:szCs w:val="28"/>
        </w:rPr>
        <w:t xml:space="preserve"> и включает: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 для категории высокого риска – не более 12 проверок;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для категории значительного риска – не более 10 проверок;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для категории умеренного риска – не более 7 проверок.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22D">
        <w:rPr>
          <w:rFonts w:ascii="Times New Roman" w:hAnsi="Times New Roman" w:cs="Times New Roman"/>
          <w:sz w:val="28"/>
          <w:szCs w:val="28"/>
        </w:rPr>
        <w:t>Присвоение категории риска объекту осуществляется инспекцией после поступления извещения о начале работ на таком объекте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022D">
        <w:rPr>
          <w:rFonts w:ascii="Times New Roman" w:hAnsi="Times New Roman" w:cs="Times New Roman"/>
          <w:sz w:val="28"/>
          <w:szCs w:val="28"/>
        </w:rPr>
        <w:t>критериями отнесения строящихся, реконструируемых объектов капитального строительства к категориям риска при осуществлении регионального государственного строительного надзора с учетом сведений проектной документации, получившей положительное заключение экспертизы проектной документации, на основании соответствующего приказа начальника инспекции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022D">
        <w:rPr>
          <w:rFonts w:ascii="Times New Roman" w:hAnsi="Times New Roman" w:cs="Times New Roman"/>
          <w:sz w:val="28"/>
          <w:szCs w:val="28"/>
        </w:rPr>
        <w:t>отражается в программе проверок.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инспекцией проверках за рассматриваемый период приведена в таблице № 1.</w:t>
      </w:r>
    </w:p>
    <w:p w:rsidR="00867680" w:rsidRPr="002769A2" w:rsidRDefault="00867680" w:rsidP="00144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69A2">
        <w:rPr>
          <w:rFonts w:ascii="Times New Roman" w:hAnsi="Times New Roman" w:cs="Times New Roman"/>
          <w:sz w:val="28"/>
          <w:szCs w:val="28"/>
        </w:rPr>
        <w:t>Таблица № 1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3544"/>
      </w:tblGrid>
      <w:tr w:rsidR="006163D6" w:rsidRPr="00093C48" w:rsidTr="00080BC9">
        <w:trPr>
          <w:trHeight w:val="1390"/>
        </w:trPr>
        <w:tc>
          <w:tcPr>
            <w:tcW w:w="567" w:type="dxa"/>
          </w:tcPr>
          <w:p w:rsidR="006163D6" w:rsidRDefault="006163D6" w:rsidP="0022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D6" w:rsidRDefault="006163D6" w:rsidP="0022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D6" w:rsidRPr="00093C48" w:rsidRDefault="006163D6" w:rsidP="0022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6163D6" w:rsidRDefault="006163D6" w:rsidP="0022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D6" w:rsidRDefault="006163D6" w:rsidP="0022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D6" w:rsidRPr="00093C48" w:rsidRDefault="006163D6" w:rsidP="0022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6163D6" w:rsidRPr="00093C48" w:rsidRDefault="00306A9E" w:rsidP="0023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63D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состоянию на </w:t>
            </w:r>
            <w:r w:rsidR="006163D6" w:rsidRPr="00093C4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61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A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63D6" w:rsidRPr="00093C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6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3D6" w:rsidRPr="00093C48" w:rsidTr="00080BC9">
        <w:tc>
          <w:tcPr>
            <w:tcW w:w="567" w:type="dxa"/>
          </w:tcPr>
          <w:p w:rsidR="006163D6" w:rsidRPr="00093C48" w:rsidRDefault="006163D6" w:rsidP="002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163D6" w:rsidRPr="00093C48" w:rsidRDefault="006163D6" w:rsidP="0022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48">
              <w:rPr>
                <w:rFonts w:ascii="Times New Roman" w:hAnsi="Times New Roman" w:cs="Times New Roman"/>
                <w:sz w:val="24"/>
                <w:szCs w:val="24"/>
              </w:rPr>
              <w:t>Количество поднадзорных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  <w:r w:rsidRPr="00093C48">
              <w:rPr>
                <w:rFonts w:ascii="Times New Roman" w:hAnsi="Times New Roman" w:cs="Times New Roman"/>
                <w:sz w:val="24"/>
                <w:szCs w:val="24"/>
              </w:rPr>
              <w:t>, находящихся в надзоре инспекции</w:t>
            </w:r>
          </w:p>
        </w:tc>
        <w:tc>
          <w:tcPr>
            <w:tcW w:w="3544" w:type="dxa"/>
            <w:vAlign w:val="center"/>
          </w:tcPr>
          <w:p w:rsidR="006163D6" w:rsidRPr="00093C48" w:rsidRDefault="00A8653A" w:rsidP="0093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316C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163D6" w:rsidRPr="00093C48" w:rsidTr="00F42DE0">
        <w:tc>
          <w:tcPr>
            <w:tcW w:w="567" w:type="dxa"/>
            <w:tcBorders>
              <w:bottom w:val="single" w:sz="4" w:space="0" w:color="auto"/>
            </w:tcBorders>
          </w:tcPr>
          <w:p w:rsidR="006163D6" w:rsidRPr="00093C48" w:rsidRDefault="006163D6" w:rsidP="002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163D6" w:rsidRPr="00093C48" w:rsidRDefault="006163D6" w:rsidP="0022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 всего, в том числе: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163D6" w:rsidRPr="00093C48" w:rsidRDefault="00A8653A" w:rsidP="0022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1 272</w:t>
            </w:r>
          </w:p>
        </w:tc>
      </w:tr>
      <w:tr w:rsidR="006163D6" w:rsidRPr="00093C48" w:rsidTr="0008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3D6" w:rsidRPr="00093C48" w:rsidRDefault="006163D6" w:rsidP="0022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163D6" w:rsidRPr="00093C48" w:rsidRDefault="00695240" w:rsidP="0022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по программам</w:t>
            </w:r>
            <w:r w:rsidR="006163D6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</w:t>
            </w:r>
          </w:p>
        </w:tc>
        <w:tc>
          <w:tcPr>
            <w:tcW w:w="3544" w:type="dxa"/>
            <w:vAlign w:val="center"/>
          </w:tcPr>
          <w:p w:rsidR="006163D6" w:rsidRPr="00080BC9" w:rsidRDefault="00A8653A" w:rsidP="0022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</w:tr>
      <w:tr w:rsidR="006163D6" w:rsidRPr="00093C48" w:rsidTr="00080BC9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D6" w:rsidRPr="00093C48" w:rsidRDefault="006163D6" w:rsidP="0022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163D6" w:rsidRPr="00093C48" w:rsidRDefault="006163D6" w:rsidP="0022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по части 1.1. статьи 54 ГрК РФ</w:t>
            </w:r>
          </w:p>
        </w:tc>
        <w:tc>
          <w:tcPr>
            <w:tcW w:w="3544" w:type="dxa"/>
            <w:vAlign w:val="center"/>
          </w:tcPr>
          <w:p w:rsidR="006163D6" w:rsidRPr="008C5968" w:rsidRDefault="00A8653A" w:rsidP="0022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163D6" w:rsidRPr="00093C48" w:rsidTr="00477CC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D6" w:rsidRPr="00093C48" w:rsidRDefault="006163D6" w:rsidP="0022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163D6" w:rsidRPr="00093C48" w:rsidRDefault="006163D6" w:rsidP="0022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по контролю за исполнением предписаний о нарушении обязательных требований</w:t>
            </w:r>
          </w:p>
        </w:tc>
        <w:tc>
          <w:tcPr>
            <w:tcW w:w="3544" w:type="dxa"/>
            <w:vAlign w:val="center"/>
          </w:tcPr>
          <w:p w:rsidR="006163D6" w:rsidRPr="006163D6" w:rsidRDefault="00A8653A" w:rsidP="0022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477CCC" w:rsidRPr="00093C48" w:rsidTr="002A0AE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CCC" w:rsidRPr="00093C48" w:rsidRDefault="00477CCC" w:rsidP="0022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477CCC" w:rsidRPr="00477CCC" w:rsidRDefault="00477CCC" w:rsidP="0022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заявлениям и обращениям</w:t>
            </w:r>
          </w:p>
        </w:tc>
        <w:tc>
          <w:tcPr>
            <w:tcW w:w="3544" w:type="dxa"/>
            <w:vAlign w:val="center"/>
          </w:tcPr>
          <w:p w:rsidR="00477CCC" w:rsidRDefault="00A8653A" w:rsidP="0022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0AE1" w:rsidRPr="00093C48" w:rsidTr="00F42DE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E1" w:rsidRPr="00093C48" w:rsidRDefault="002A0AE1" w:rsidP="0022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2A0AE1" w:rsidRPr="002A0AE1" w:rsidRDefault="002A0AE1" w:rsidP="0022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по требованиям прокурора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A0AE1" w:rsidRDefault="002A0AE1" w:rsidP="0022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67680" w:rsidRPr="00093C48" w:rsidRDefault="00867680" w:rsidP="00867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680" w:rsidRDefault="00867680" w:rsidP="00867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A1BB0">
        <w:rPr>
          <w:rFonts w:ascii="Times New Roman" w:hAnsi="Times New Roman" w:cs="Times New Roman"/>
          <w:sz w:val="28"/>
          <w:szCs w:val="28"/>
        </w:rPr>
        <w:t xml:space="preserve">Статистические данные по количеству выявленных инспекцией нарушений </w:t>
      </w:r>
      <w:r w:rsidR="00960119">
        <w:rPr>
          <w:rFonts w:ascii="Times New Roman" w:hAnsi="Times New Roman" w:cs="Times New Roman"/>
          <w:sz w:val="28"/>
          <w:szCs w:val="28"/>
        </w:rPr>
        <w:t xml:space="preserve">в динамике за </w:t>
      </w:r>
      <w:r w:rsidR="00144750">
        <w:rPr>
          <w:rFonts w:ascii="Times New Roman" w:hAnsi="Times New Roman" w:cs="Times New Roman"/>
          <w:sz w:val="28"/>
          <w:szCs w:val="28"/>
        </w:rPr>
        <w:t xml:space="preserve">1 </w:t>
      </w:r>
      <w:r w:rsidR="007B1B3D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144750">
        <w:rPr>
          <w:rFonts w:ascii="Times New Roman" w:hAnsi="Times New Roman" w:cs="Times New Roman"/>
          <w:sz w:val="28"/>
          <w:szCs w:val="28"/>
        </w:rPr>
        <w:t>2021</w:t>
      </w:r>
      <w:r w:rsidR="00B3039D">
        <w:rPr>
          <w:rFonts w:ascii="Times New Roman" w:hAnsi="Times New Roman" w:cs="Times New Roman"/>
          <w:sz w:val="28"/>
          <w:szCs w:val="28"/>
        </w:rPr>
        <w:t xml:space="preserve">, </w:t>
      </w:r>
      <w:r w:rsidR="00960119">
        <w:rPr>
          <w:rFonts w:ascii="Times New Roman" w:hAnsi="Times New Roman" w:cs="Times New Roman"/>
          <w:sz w:val="28"/>
          <w:szCs w:val="28"/>
        </w:rPr>
        <w:t>202</w:t>
      </w:r>
      <w:r w:rsidR="00144750">
        <w:rPr>
          <w:rFonts w:ascii="Times New Roman" w:hAnsi="Times New Roman" w:cs="Times New Roman"/>
          <w:sz w:val="28"/>
          <w:szCs w:val="28"/>
        </w:rPr>
        <w:t>0</w:t>
      </w:r>
      <w:r w:rsidR="00960119">
        <w:rPr>
          <w:rFonts w:ascii="Times New Roman" w:hAnsi="Times New Roman" w:cs="Times New Roman"/>
          <w:sz w:val="28"/>
          <w:szCs w:val="28"/>
        </w:rPr>
        <w:t xml:space="preserve"> год</w:t>
      </w:r>
      <w:r w:rsidR="00533FE6">
        <w:rPr>
          <w:rFonts w:ascii="Times New Roman" w:hAnsi="Times New Roman" w:cs="Times New Roman"/>
          <w:sz w:val="28"/>
          <w:szCs w:val="28"/>
        </w:rPr>
        <w:t>ов</w:t>
      </w:r>
      <w:r w:rsidRPr="004A1BB0">
        <w:rPr>
          <w:rFonts w:ascii="Times New Roman" w:hAnsi="Times New Roman" w:cs="Times New Roman"/>
          <w:sz w:val="28"/>
          <w:szCs w:val="28"/>
        </w:rPr>
        <w:t xml:space="preserve"> приведены в таблице № 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968" w:rsidRDefault="008C5968" w:rsidP="00867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680" w:rsidRPr="004A1BB0" w:rsidRDefault="00867680" w:rsidP="00144750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Pr="004A1BB0">
        <w:rPr>
          <w:rFonts w:ascii="Times New Roman" w:hAnsi="Times New Roman" w:cs="Times New Roman"/>
          <w:sz w:val="28"/>
          <w:szCs w:val="28"/>
        </w:rPr>
        <w:t> 2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89"/>
        <w:gridCol w:w="4640"/>
        <w:gridCol w:w="2409"/>
        <w:gridCol w:w="1985"/>
      </w:tblGrid>
      <w:tr w:rsidR="00B3039D" w:rsidRPr="004A1BB0" w:rsidTr="00B31300">
        <w:tc>
          <w:tcPr>
            <w:tcW w:w="889" w:type="dxa"/>
            <w:vMerge w:val="restart"/>
          </w:tcPr>
          <w:p w:rsidR="00B3039D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9D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9D" w:rsidRPr="004A1BB0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B0">
              <w:rPr>
                <w:rFonts w:ascii="Times New Roman" w:hAnsi="Times New Roman" w:cs="Times New Roman"/>
                <w:sz w:val="24"/>
                <w:szCs w:val="24"/>
              </w:rPr>
              <w:t>№  п/п</w:t>
            </w:r>
          </w:p>
        </w:tc>
        <w:tc>
          <w:tcPr>
            <w:tcW w:w="4640" w:type="dxa"/>
            <w:vMerge w:val="restart"/>
          </w:tcPr>
          <w:p w:rsidR="00B3039D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9D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9D" w:rsidRPr="004A1BB0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4" w:type="dxa"/>
            <w:gridSpan w:val="2"/>
          </w:tcPr>
          <w:p w:rsidR="00B3039D" w:rsidRPr="004A1BB0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4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B3039D" w:rsidRPr="008A468D" w:rsidTr="00B31300">
        <w:tc>
          <w:tcPr>
            <w:tcW w:w="889" w:type="dxa"/>
            <w:vMerge/>
          </w:tcPr>
          <w:p w:rsidR="00B3039D" w:rsidRDefault="00B3039D" w:rsidP="00ED3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  <w:vMerge/>
          </w:tcPr>
          <w:p w:rsidR="00B3039D" w:rsidRDefault="00B3039D" w:rsidP="00ED3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039D" w:rsidRDefault="00B3039D" w:rsidP="008C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B3039D" w:rsidRPr="00093C48" w:rsidRDefault="00B3039D" w:rsidP="007B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93C4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1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3C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3039D" w:rsidRDefault="00B3039D" w:rsidP="008C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B3039D" w:rsidRPr="00093C48" w:rsidRDefault="00B3039D" w:rsidP="007B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93C4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1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3C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039D" w:rsidRPr="00050D8F" w:rsidTr="00B31300">
        <w:tc>
          <w:tcPr>
            <w:tcW w:w="889" w:type="dxa"/>
          </w:tcPr>
          <w:p w:rsidR="00B3039D" w:rsidRPr="004A1BB0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B3039D" w:rsidRPr="004A1BB0" w:rsidRDefault="00B3039D" w:rsidP="00ED3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B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проверок</w:t>
            </w:r>
          </w:p>
        </w:tc>
        <w:tc>
          <w:tcPr>
            <w:tcW w:w="2409" w:type="dxa"/>
          </w:tcPr>
          <w:p w:rsidR="00B3039D" w:rsidRPr="00093C48" w:rsidRDefault="007B1B3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1 272</w:t>
            </w:r>
          </w:p>
        </w:tc>
        <w:tc>
          <w:tcPr>
            <w:tcW w:w="1985" w:type="dxa"/>
          </w:tcPr>
          <w:p w:rsidR="00B3039D" w:rsidRPr="00093C48" w:rsidRDefault="007B1B3D" w:rsidP="007B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B3039D" w:rsidRPr="00046CB2" w:rsidTr="00B31300">
        <w:tc>
          <w:tcPr>
            <w:tcW w:w="889" w:type="dxa"/>
          </w:tcPr>
          <w:p w:rsidR="00B3039D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</w:tcPr>
          <w:p w:rsidR="00B3039D" w:rsidRDefault="00B3039D" w:rsidP="00ED3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обязательных требований</w:t>
            </w:r>
          </w:p>
        </w:tc>
        <w:tc>
          <w:tcPr>
            <w:tcW w:w="2409" w:type="dxa"/>
          </w:tcPr>
          <w:p w:rsidR="00B3039D" w:rsidRPr="00046CB2" w:rsidRDefault="007B1B3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985" w:type="dxa"/>
          </w:tcPr>
          <w:p w:rsidR="00B3039D" w:rsidRPr="00046CB2" w:rsidRDefault="007B1B3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</w:tr>
      <w:tr w:rsidR="00B3039D" w:rsidRPr="00046CB2" w:rsidTr="00B31300">
        <w:tc>
          <w:tcPr>
            <w:tcW w:w="889" w:type="dxa"/>
          </w:tcPr>
          <w:p w:rsidR="00B3039D" w:rsidRPr="004A1BB0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0" w:type="dxa"/>
          </w:tcPr>
          <w:p w:rsidR="00B3039D" w:rsidRPr="00517D03" w:rsidRDefault="00B3039D" w:rsidP="00ED36E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количество выявленных нарушений обязательных требований при проведении надзорных мероприятий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409" w:type="dxa"/>
          </w:tcPr>
          <w:p w:rsidR="00B3039D" w:rsidRPr="00046CB2" w:rsidRDefault="007B1B3D" w:rsidP="007B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985" w:type="dxa"/>
          </w:tcPr>
          <w:p w:rsidR="00B3039D" w:rsidRPr="00046CB2" w:rsidRDefault="007B1B3D" w:rsidP="007B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</w:tbl>
    <w:p w:rsidR="00867680" w:rsidRDefault="00867680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680" w:rsidRDefault="00867680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рассматриваемый период </w:t>
      </w:r>
      <w:r w:rsidRPr="00D66BA9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9316C6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количества проведенных проверок в расчете на одного инспектора, о чем свидетельствуют показатели таблицы № 3. </w:t>
      </w:r>
    </w:p>
    <w:p w:rsidR="00867680" w:rsidRDefault="00867680" w:rsidP="00D66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Таблица № 3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89"/>
        <w:gridCol w:w="4393"/>
        <w:gridCol w:w="2656"/>
        <w:gridCol w:w="1985"/>
      </w:tblGrid>
      <w:tr w:rsidR="00B3039D" w:rsidRPr="004A1BB0" w:rsidTr="00B31300">
        <w:tc>
          <w:tcPr>
            <w:tcW w:w="889" w:type="dxa"/>
            <w:vMerge w:val="restart"/>
          </w:tcPr>
          <w:p w:rsidR="00B3039D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9D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9D" w:rsidRPr="004A1BB0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B0">
              <w:rPr>
                <w:rFonts w:ascii="Times New Roman" w:hAnsi="Times New Roman" w:cs="Times New Roman"/>
                <w:sz w:val="24"/>
                <w:szCs w:val="24"/>
              </w:rPr>
              <w:t>№  п/п</w:t>
            </w:r>
          </w:p>
        </w:tc>
        <w:tc>
          <w:tcPr>
            <w:tcW w:w="4393" w:type="dxa"/>
            <w:vMerge w:val="restart"/>
          </w:tcPr>
          <w:p w:rsidR="00B3039D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9D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9D" w:rsidRPr="004A1BB0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41" w:type="dxa"/>
            <w:gridSpan w:val="2"/>
            <w:vAlign w:val="center"/>
          </w:tcPr>
          <w:p w:rsidR="00B3039D" w:rsidRPr="004A1BB0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4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B3039D" w:rsidRPr="00093C48" w:rsidTr="00B31300">
        <w:tc>
          <w:tcPr>
            <w:tcW w:w="889" w:type="dxa"/>
            <w:vMerge/>
          </w:tcPr>
          <w:p w:rsidR="00B3039D" w:rsidRDefault="00B3039D" w:rsidP="00ED3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B3039D" w:rsidRDefault="00B3039D" w:rsidP="00ED3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B3039D" w:rsidRDefault="00B3039D" w:rsidP="008D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B3039D" w:rsidRPr="00093C48" w:rsidRDefault="00B3039D" w:rsidP="0023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93C4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A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3C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3039D" w:rsidRDefault="00B3039D" w:rsidP="008D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B3039D" w:rsidRPr="00093C48" w:rsidRDefault="00B3039D" w:rsidP="0023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93C4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A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3C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039D" w:rsidRPr="00093C48" w:rsidTr="00B31300">
        <w:tc>
          <w:tcPr>
            <w:tcW w:w="889" w:type="dxa"/>
          </w:tcPr>
          <w:p w:rsidR="00B3039D" w:rsidRPr="004A1BB0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B3039D" w:rsidRPr="004A1BB0" w:rsidRDefault="00B3039D" w:rsidP="00ED3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B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проверок</w:t>
            </w:r>
          </w:p>
        </w:tc>
        <w:tc>
          <w:tcPr>
            <w:tcW w:w="2656" w:type="dxa"/>
          </w:tcPr>
          <w:p w:rsidR="00B3039D" w:rsidRPr="00093C48" w:rsidRDefault="00234A50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1 272</w:t>
            </w:r>
          </w:p>
        </w:tc>
        <w:tc>
          <w:tcPr>
            <w:tcW w:w="1985" w:type="dxa"/>
          </w:tcPr>
          <w:p w:rsidR="00B3039D" w:rsidRPr="00093C48" w:rsidRDefault="00234A50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B3039D" w:rsidRPr="004A1BB0" w:rsidTr="00B31300">
        <w:tc>
          <w:tcPr>
            <w:tcW w:w="889" w:type="dxa"/>
          </w:tcPr>
          <w:p w:rsidR="00B3039D" w:rsidRPr="004A1BB0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B3039D" w:rsidRPr="004A1BB0" w:rsidRDefault="00B3039D" w:rsidP="00ED3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инспекторов, осуществляющих проведение проверок</w:t>
            </w:r>
          </w:p>
        </w:tc>
        <w:tc>
          <w:tcPr>
            <w:tcW w:w="2656" w:type="dxa"/>
            <w:vAlign w:val="center"/>
          </w:tcPr>
          <w:p w:rsidR="00B3039D" w:rsidRPr="004A1BB0" w:rsidRDefault="00234A50" w:rsidP="00EF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vAlign w:val="center"/>
          </w:tcPr>
          <w:p w:rsidR="00B3039D" w:rsidRPr="004A1BB0" w:rsidRDefault="00234A50" w:rsidP="00B3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3039D" w:rsidRPr="004A1BB0" w:rsidTr="00B31300">
        <w:tc>
          <w:tcPr>
            <w:tcW w:w="889" w:type="dxa"/>
          </w:tcPr>
          <w:p w:rsidR="00B3039D" w:rsidRDefault="00B3039D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B3039D" w:rsidRPr="00517D03" w:rsidRDefault="00B3039D" w:rsidP="00ED36E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количество проверок, приходящихся на одного инспектора </w:t>
            </w:r>
          </w:p>
        </w:tc>
        <w:tc>
          <w:tcPr>
            <w:tcW w:w="2656" w:type="dxa"/>
            <w:vAlign w:val="center"/>
          </w:tcPr>
          <w:p w:rsidR="00B3039D" w:rsidRPr="004A1BB0" w:rsidRDefault="00234A50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985" w:type="dxa"/>
            <w:vAlign w:val="center"/>
          </w:tcPr>
          <w:p w:rsidR="00B3039D" w:rsidRPr="004A1BB0" w:rsidRDefault="00234A50" w:rsidP="00E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</w:tbl>
    <w:p w:rsidR="00EF3AE9" w:rsidRDefault="00EF3AE9" w:rsidP="00EF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2AC" w:rsidRDefault="00867680" w:rsidP="00EF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выданных предписаний об устранении нарушений за </w:t>
      </w:r>
      <w:r w:rsidR="00533FE6">
        <w:rPr>
          <w:rFonts w:ascii="Times New Roman" w:hAnsi="Times New Roman" w:cs="Times New Roman"/>
          <w:sz w:val="28"/>
          <w:szCs w:val="28"/>
        </w:rPr>
        <w:t xml:space="preserve">1 </w:t>
      </w:r>
      <w:r w:rsidR="00DD6859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B22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3FE6">
        <w:rPr>
          <w:rFonts w:ascii="Times New Roman" w:hAnsi="Times New Roman" w:cs="Times New Roman"/>
          <w:sz w:val="28"/>
          <w:szCs w:val="28"/>
        </w:rPr>
        <w:t xml:space="preserve"> 202</w:t>
      </w:r>
      <w:r w:rsidR="004B22CE">
        <w:rPr>
          <w:rFonts w:ascii="Times New Roman" w:hAnsi="Times New Roman" w:cs="Times New Roman"/>
          <w:sz w:val="28"/>
          <w:szCs w:val="28"/>
        </w:rPr>
        <w:t>0</w:t>
      </w:r>
      <w:r w:rsidR="00533FE6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E051E">
        <w:rPr>
          <w:rFonts w:ascii="Times New Roman" w:hAnsi="Times New Roman" w:cs="Times New Roman"/>
          <w:sz w:val="28"/>
          <w:szCs w:val="28"/>
        </w:rPr>
        <w:t xml:space="preserve">приведена на </w:t>
      </w:r>
      <w:r>
        <w:rPr>
          <w:rFonts w:ascii="Times New Roman" w:hAnsi="Times New Roman" w:cs="Times New Roman"/>
          <w:sz w:val="28"/>
          <w:szCs w:val="28"/>
        </w:rPr>
        <w:t>рисунк</w:t>
      </w:r>
      <w:r w:rsidR="00FE05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E051E">
        <w:rPr>
          <w:rFonts w:ascii="Times New Roman" w:hAnsi="Times New Roman" w:cs="Times New Roman"/>
          <w:sz w:val="28"/>
          <w:szCs w:val="28"/>
        </w:rPr>
        <w:t>.</w:t>
      </w:r>
    </w:p>
    <w:p w:rsidR="00867680" w:rsidRPr="00EE3978" w:rsidRDefault="00DD6859" w:rsidP="00EF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5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1BF7C88" wp14:editId="08DA3606">
            <wp:extent cx="6217920" cy="3872753"/>
            <wp:effectExtent l="38100" t="0" r="11430" b="139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867680" w:rsidRDefault="00867680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680" w:rsidRDefault="00867680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распространенным видом юридической ответственности в поднадзорной инспекции сфере является административная ответственность, установленная нормами Кодекса Российской Федерации об административных правонарушениях (далее – КоАП РФ) направленная на предупреждение, выявление и пресечение нарушений законодательства Российской Федерации.</w:t>
      </w:r>
    </w:p>
    <w:p w:rsidR="00867680" w:rsidRDefault="00867680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видом административного наказания</w:t>
      </w:r>
      <w:r w:rsidR="005148BB">
        <w:rPr>
          <w:rFonts w:ascii="Times New Roman" w:hAnsi="Times New Roman" w:cs="Times New Roman"/>
          <w:sz w:val="28"/>
          <w:szCs w:val="28"/>
        </w:rPr>
        <w:t xml:space="preserve"> в 1 </w:t>
      </w:r>
      <w:r w:rsidR="00DD6859">
        <w:rPr>
          <w:rFonts w:ascii="Times New Roman" w:hAnsi="Times New Roman" w:cs="Times New Roman"/>
          <w:sz w:val="28"/>
          <w:szCs w:val="28"/>
        </w:rPr>
        <w:t>полугодии</w:t>
      </w:r>
      <w:r w:rsidR="005148BB"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>, применяемого инспекцией</w:t>
      </w:r>
      <w:r w:rsidR="005148BB">
        <w:rPr>
          <w:rFonts w:ascii="Times New Roman" w:hAnsi="Times New Roman" w:cs="Times New Roman"/>
          <w:sz w:val="28"/>
          <w:szCs w:val="28"/>
        </w:rPr>
        <w:t xml:space="preserve"> и судами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5148BB">
        <w:rPr>
          <w:rFonts w:ascii="Times New Roman" w:hAnsi="Times New Roman" w:cs="Times New Roman"/>
          <w:sz w:val="28"/>
          <w:szCs w:val="28"/>
        </w:rPr>
        <w:t>административный штраф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680" w:rsidRDefault="00867680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</w:t>
      </w:r>
      <w:r w:rsidRPr="00EE1817">
        <w:rPr>
          <w:rFonts w:ascii="Times New Roman" w:hAnsi="Times New Roman" w:cs="Times New Roman"/>
          <w:sz w:val="28"/>
          <w:szCs w:val="28"/>
        </w:rPr>
        <w:t>рименен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EE1817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5148BB">
        <w:rPr>
          <w:rFonts w:ascii="Times New Roman" w:hAnsi="Times New Roman" w:cs="Times New Roman"/>
          <w:sz w:val="28"/>
          <w:szCs w:val="28"/>
        </w:rPr>
        <w:t>ых</w:t>
      </w:r>
      <w:r w:rsidRPr="00EE1817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5148BB">
        <w:rPr>
          <w:rFonts w:ascii="Times New Roman" w:hAnsi="Times New Roman" w:cs="Times New Roman"/>
          <w:sz w:val="28"/>
          <w:szCs w:val="28"/>
        </w:rPr>
        <w:t>й</w:t>
      </w:r>
      <w:r w:rsidRPr="00EE1817">
        <w:rPr>
          <w:rFonts w:ascii="Times New Roman" w:hAnsi="Times New Roman" w:cs="Times New Roman"/>
          <w:sz w:val="28"/>
          <w:szCs w:val="28"/>
        </w:rPr>
        <w:t xml:space="preserve"> </w:t>
      </w:r>
      <w:r w:rsidR="005148BB">
        <w:rPr>
          <w:rFonts w:ascii="Times New Roman" w:hAnsi="Times New Roman" w:cs="Times New Roman"/>
          <w:sz w:val="28"/>
          <w:szCs w:val="28"/>
        </w:rPr>
        <w:t xml:space="preserve">за рассматриваемый период </w:t>
      </w:r>
      <w:r>
        <w:rPr>
          <w:rFonts w:ascii="Times New Roman" w:hAnsi="Times New Roman" w:cs="Times New Roman"/>
          <w:sz w:val="28"/>
          <w:szCs w:val="28"/>
        </w:rPr>
        <w:t>приведена на рисунке 3.</w:t>
      </w:r>
    </w:p>
    <w:p w:rsidR="00867680" w:rsidRDefault="00867680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680" w:rsidRDefault="00DD6859" w:rsidP="00867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2E0C6D" wp14:editId="52F9EABF">
            <wp:extent cx="6250193" cy="3356386"/>
            <wp:effectExtent l="0" t="0" r="17780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867680" w:rsidRDefault="00867680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680" w:rsidRPr="003C177D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77D">
        <w:rPr>
          <w:rFonts w:ascii="Times New Roman" w:hAnsi="Times New Roman" w:cs="Times New Roman"/>
          <w:sz w:val="28"/>
          <w:szCs w:val="28"/>
        </w:rPr>
        <w:t xml:space="preserve">Анализ составов административных правонарушений КоАП РФ позволяет выделить группу административных правонарушений в строительстве и группу административных правонарушений против порядка управления. К числу первых следует отнести следующие составы: </w:t>
      </w:r>
    </w:p>
    <w:p w:rsidR="00867680" w:rsidRPr="003C177D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177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77D">
        <w:rPr>
          <w:rFonts w:ascii="Times New Roman" w:hAnsi="Times New Roman" w:cs="Times New Roman"/>
          <w:sz w:val="28"/>
          <w:szCs w:val="28"/>
        </w:rPr>
        <w:t xml:space="preserve"> 9.4</w:t>
      </w:r>
      <w:r w:rsidRPr="00084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C177D">
        <w:rPr>
          <w:rFonts w:ascii="Times New Roman" w:hAnsi="Times New Roman" w:cs="Times New Roman"/>
          <w:sz w:val="28"/>
          <w:szCs w:val="28"/>
        </w:rPr>
        <w:t xml:space="preserve"> - нарушение обязательных требований в области строительства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177D">
        <w:rPr>
          <w:rFonts w:ascii="Times New Roman" w:hAnsi="Times New Roman" w:cs="Times New Roman"/>
          <w:sz w:val="28"/>
          <w:szCs w:val="28"/>
        </w:rPr>
        <w:t>применения строительных материалов (изделий);</w:t>
      </w:r>
    </w:p>
    <w:p w:rsidR="00867680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177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77D">
        <w:rPr>
          <w:rFonts w:ascii="Times New Roman" w:hAnsi="Times New Roman" w:cs="Times New Roman"/>
          <w:sz w:val="28"/>
          <w:szCs w:val="28"/>
        </w:rPr>
        <w:t xml:space="preserve"> 9.5 </w:t>
      </w:r>
      <w:r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3C177D">
        <w:rPr>
          <w:rFonts w:ascii="Times New Roman" w:hAnsi="Times New Roman" w:cs="Times New Roman"/>
          <w:sz w:val="28"/>
          <w:szCs w:val="28"/>
        </w:rPr>
        <w:t xml:space="preserve">- нарушение установленного порядка строительства, реконструкции объекта капитального строительства, ввода его в эксплуатацию. Эти нормы непосредственно касаются предмета надзорной деятельности инспекции. </w:t>
      </w:r>
    </w:p>
    <w:p w:rsidR="00867680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второй группе административных правонарушений относятся следующие составы:</w:t>
      </w:r>
    </w:p>
    <w:p w:rsidR="00867680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 КоАП РФ – н</w:t>
      </w:r>
      <w:r w:rsidRPr="00CF5E69">
        <w:rPr>
          <w:rFonts w:ascii="Times New Roman" w:hAnsi="Times New Roman" w:cs="Times New Roman"/>
          <w:sz w:val="28"/>
          <w:szCs w:val="28"/>
        </w:rPr>
        <w:t>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власти,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7680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19.7 КоАП РФ – н</w:t>
      </w:r>
      <w:r w:rsidRPr="00CF5E69">
        <w:rPr>
          <w:rFonts w:ascii="Times New Roman" w:hAnsi="Times New Roman" w:cs="Times New Roman"/>
          <w:sz w:val="28"/>
          <w:szCs w:val="28"/>
        </w:rPr>
        <w:t>есвоевременное представление в государственный орган, осуществляющий государственный надзор, сведений (информации), представление которых предусмотрено законом и необходимо для осуществления этим органом его законной деятельности, либо представление в государственный орган, осуществляющий, государственный надзор, таких сведений (информации) в неполном объеме или в искаженном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680" w:rsidRPr="00522BF9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количестве вынесенных инспекцией, а так же судами Новосибирской области </w:t>
      </w:r>
      <w:r w:rsidR="00034F09">
        <w:rPr>
          <w:rFonts w:ascii="Times New Roman" w:hAnsi="Times New Roman" w:cs="Times New Roman"/>
          <w:sz w:val="28"/>
          <w:szCs w:val="28"/>
        </w:rPr>
        <w:t xml:space="preserve">постановлений/решений </w:t>
      </w:r>
      <w:r>
        <w:rPr>
          <w:rFonts w:ascii="Times New Roman" w:hAnsi="Times New Roman" w:cs="Times New Roman"/>
          <w:sz w:val="28"/>
          <w:szCs w:val="28"/>
        </w:rPr>
        <w:t>на основании поступивших материалов дел об административных правонарушениях в сфере строительства, представлены в таблице № 4.</w:t>
      </w:r>
    </w:p>
    <w:p w:rsidR="00121494" w:rsidRPr="00522BF9" w:rsidRDefault="00121494" w:rsidP="00121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680" w:rsidRDefault="00867680" w:rsidP="00121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 4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402"/>
        <w:gridCol w:w="3827"/>
      </w:tblGrid>
      <w:tr w:rsidR="00034F09" w:rsidRPr="008B7497" w:rsidTr="00356E17">
        <w:trPr>
          <w:trHeight w:val="18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9" w:rsidRPr="008B7497" w:rsidRDefault="00034F09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КоАП РФ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7" w:rsidRDefault="00034F09" w:rsidP="003E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постановлений/решений, вынесенных</w:t>
            </w:r>
          </w:p>
          <w:p w:rsidR="00034F09" w:rsidRPr="008B7497" w:rsidRDefault="00356E17" w:rsidP="001E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034F09" w:rsidRPr="008B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E7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полугодии </w:t>
            </w:r>
            <w:r w:rsidR="00034F09" w:rsidRPr="008B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E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34F09" w:rsidRPr="008B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926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r w:rsidR="003E7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034F09" w:rsidRPr="008B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F09" w:rsidRPr="008B7497" w:rsidTr="00356E17">
        <w:trPr>
          <w:trHeight w:val="633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09" w:rsidRPr="008B7497" w:rsidRDefault="00034F09" w:rsidP="00221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9" w:rsidRPr="000B2885" w:rsidRDefault="00034F09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2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инспекцией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9" w:rsidRPr="000B2885" w:rsidRDefault="00034F09" w:rsidP="00B9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2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судами Новосибирской области</w:t>
            </w:r>
          </w:p>
        </w:tc>
      </w:tr>
      <w:tr w:rsidR="00034F09" w:rsidRPr="008B7497" w:rsidTr="00356E1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9" w:rsidRPr="008B7497" w:rsidRDefault="00034F09" w:rsidP="0022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</w:t>
            </w: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9.4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9" w:rsidRPr="000359DA" w:rsidRDefault="00A133E0" w:rsidP="0053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9" w:rsidRPr="008B7497" w:rsidRDefault="00034F09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34F09" w:rsidRPr="008B7497" w:rsidTr="00356E1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9" w:rsidRPr="008B7497" w:rsidRDefault="00034F09" w:rsidP="0022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</w:t>
            </w: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9.4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9" w:rsidRPr="008B7497" w:rsidRDefault="00A133E0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9" w:rsidRPr="008B7497" w:rsidRDefault="00A133E0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4F09" w:rsidRPr="008B7497" w:rsidTr="00356E1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9" w:rsidRPr="008B7497" w:rsidRDefault="00034F09" w:rsidP="0022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</w:t>
            </w: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9" w:rsidRPr="008B7497" w:rsidRDefault="00A133E0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9" w:rsidRPr="008B7497" w:rsidRDefault="001E7449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34F09" w:rsidRPr="008B7497" w:rsidTr="00356E1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9" w:rsidRPr="008B7497" w:rsidRDefault="00034F09" w:rsidP="0022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</w:t>
            </w: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9" w:rsidRPr="008B7497" w:rsidRDefault="00A133E0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9" w:rsidRPr="008B7497" w:rsidRDefault="003E767C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33E0" w:rsidRPr="008B7497" w:rsidTr="00356E1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3E0" w:rsidRPr="008B7497" w:rsidRDefault="00A133E0" w:rsidP="003E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3 ст. </w:t>
            </w: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E0" w:rsidRDefault="00A133E0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E0" w:rsidRDefault="002530EA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34F09" w:rsidRPr="008B7497" w:rsidTr="00356E1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9" w:rsidRPr="008B7497" w:rsidRDefault="00034F09" w:rsidP="003E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</w:t>
            </w:r>
            <w:r w:rsidR="003E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</w:t>
            </w: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9" w:rsidRPr="008B7497" w:rsidRDefault="00A133E0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9" w:rsidRPr="008B7497" w:rsidRDefault="00034F09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34F09" w:rsidRPr="008B7497" w:rsidTr="00356E1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F09" w:rsidRPr="008B7497" w:rsidRDefault="00034F09" w:rsidP="0022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</w:t>
            </w: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9" w:rsidRPr="008B7497" w:rsidRDefault="00A133E0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09" w:rsidRPr="008B7497" w:rsidRDefault="003E767C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33E0" w:rsidRPr="008B7497" w:rsidTr="00356E1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3E0" w:rsidRPr="008B7497" w:rsidRDefault="00A133E0" w:rsidP="00A1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ст. </w:t>
            </w: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E0" w:rsidDel="00A133E0" w:rsidRDefault="00A133E0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E0" w:rsidRDefault="002530EA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E767C" w:rsidRPr="008B7497" w:rsidTr="00356E1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67C" w:rsidRPr="008B7497" w:rsidRDefault="003E767C" w:rsidP="003E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ст. </w:t>
            </w: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7C" w:rsidRDefault="00A133E0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67C" w:rsidRDefault="00356E17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6E17" w:rsidRPr="008B7497" w:rsidTr="00356E1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E17" w:rsidRPr="008B7497" w:rsidRDefault="00356E17" w:rsidP="0035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ст. 1</w:t>
            </w: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17" w:rsidRDefault="002530EA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17" w:rsidRDefault="00356E17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6E17" w:rsidRPr="008B7497" w:rsidTr="00356E1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17" w:rsidRPr="008B7497" w:rsidRDefault="00356E17" w:rsidP="0022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</w:t>
            </w: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7" w:rsidRPr="008B7497" w:rsidRDefault="00356E17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7" w:rsidRPr="008B7497" w:rsidRDefault="00A133E0" w:rsidP="001E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E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56E17" w:rsidRPr="008B7497" w:rsidTr="00356E1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17" w:rsidRPr="008B7497" w:rsidRDefault="00356E17" w:rsidP="0022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7" w:rsidRPr="008B7497" w:rsidRDefault="00356E17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7" w:rsidRPr="008B7497" w:rsidRDefault="00A133E0" w:rsidP="001E7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56E17" w:rsidRPr="008B7497" w:rsidTr="00356E1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17" w:rsidRPr="008B7497" w:rsidRDefault="00356E17" w:rsidP="00221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</w:t>
            </w:r>
            <w:r w:rsidRPr="008B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20.25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7" w:rsidRPr="008B7497" w:rsidRDefault="00356E17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7" w:rsidRPr="008B7497" w:rsidRDefault="001E7449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6E17" w:rsidRPr="008B7497" w:rsidTr="00356E1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17" w:rsidRPr="008B7497" w:rsidRDefault="00356E17" w:rsidP="00221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период: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17" w:rsidRPr="000359DA" w:rsidRDefault="001E7449" w:rsidP="0011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17" w:rsidRPr="008B7497" w:rsidRDefault="001E7449" w:rsidP="0022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</w:tbl>
    <w:p w:rsidR="00867680" w:rsidRDefault="00867680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680" w:rsidRPr="0053016D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6D">
        <w:rPr>
          <w:rFonts w:ascii="Times New Roman" w:hAnsi="Times New Roman" w:cs="Times New Roman"/>
          <w:sz w:val="28"/>
          <w:szCs w:val="28"/>
        </w:rPr>
        <w:t xml:space="preserve">Анализ правонарушений за </w:t>
      </w:r>
      <w:r w:rsidR="00115269">
        <w:rPr>
          <w:rFonts w:ascii="Times New Roman" w:hAnsi="Times New Roman" w:cs="Times New Roman"/>
          <w:sz w:val="28"/>
          <w:szCs w:val="28"/>
        </w:rPr>
        <w:t xml:space="preserve">1 </w:t>
      </w:r>
      <w:r w:rsidR="001E7449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3016D">
        <w:rPr>
          <w:rFonts w:ascii="Times New Roman" w:hAnsi="Times New Roman" w:cs="Times New Roman"/>
          <w:sz w:val="28"/>
          <w:szCs w:val="28"/>
        </w:rPr>
        <w:t>202</w:t>
      </w:r>
      <w:r w:rsidR="00115269">
        <w:rPr>
          <w:rFonts w:ascii="Times New Roman" w:hAnsi="Times New Roman" w:cs="Times New Roman"/>
          <w:sz w:val="28"/>
          <w:szCs w:val="28"/>
        </w:rPr>
        <w:t>1</w:t>
      </w:r>
      <w:r w:rsidR="00034F09">
        <w:rPr>
          <w:rFonts w:ascii="Times New Roman" w:hAnsi="Times New Roman" w:cs="Times New Roman"/>
          <w:sz w:val="28"/>
          <w:szCs w:val="28"/>
        </w:rPr>
        <w:t xml:space="preserve"> </w:t>
      </w:r>
      <w:r w:rsidRPr="0053016D">
        <w:rPr>
          <w:rFonts w:ascii="Times New Roman" w:hAnsi="Times New Roman" w:cs="Times New Roman"/>
          <w:sz w:val="28"/>
          <w:szCs w:val="28"/>
        </w:rPr>
        <w:t>год</w:t>
      </w:r>
      <w:r w:rsidR="00115269">
        <w:rPr>
          <w:rFonts w:ascii="Times New Roman" w:hAnsi="Times New Roman" w:cs="Times New Roman"/>
          <w:sz w:val="28"/>
          <w:szCs w:val="28"/>
        </w:rPr>
        <w:t>а</w:t>
      </w:r>
      <w:r w:rsidRPr="0053016D">
        <w:rPr>
          <w:rFonts w:ascii="Times New Roman" w:hAnsi="Times New Roman" w:cs="Times New Roman"/>
          <w:sz w:val="28"/>
          <w:szCs w:val="28"/>
        </w:rPr>
        <w:t xml:space="preserve"> показывает, что основной причиной отрицательно влияющей на качество и безопасность строительства, реконструкции объектов капитального строительства является систематически повторяющиеся нарушения тр</w:t>
      </w:r>
      <w:r w:rsidR="00034F09">
        <w:rPr>
          <w:rFonts w:ascii="Times New Roman" w:hAnsi="Times New Roman" w:cs="Times New Roman"/>
          <w:sz w:val="28"/>
          <w:szCs w:val="28"/>
        </w:rPr>
        <w:t xml:space="preserve">ебований проектной документации.  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риск-ориентированного подхода, основную массу </w:t>
      </w:r>
      <w:r w:rsidR="00220B3B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правонарушений составляют правонарушения, выявленные должностными лицами инспекции при строительстве, реконструкции объектов капитального строительства с </w:t>
      </w:r>
      <w:r w:rsidRPr="00115269">
        <w:rPr>
          <w:rFonts w:ascii="Times New Roman" w:hAnsi="Times New Roman" w:cs="Times New Roman"/>
          <w:sz w:val="28"/>
          <w:szCs w:val="28"/>
        </w:rPr>
        <w:t>категори</w:t>
      </w:r>
      <w:r w:rsidR="00220B3B">
        <w:rPr>
          <w:rFonts w:ascii="Times New Roman" w:hAnsi="Times New Roman" w:cs="Times New Roman"/>
          <w:sz w:val="28"/>
          <w:szCs w:val="28"/>
        </w:rPr>
        <w:t>ей</w:t>
      </w:r>
      <w:r w:rsidRPr="00115269">
        <w:rPr>
          <w:rFonts w:ascii="Times New Roman" w:hAnsi="Times New Roman" w:cs="Times New Roman"/>
          <w:sz w:val="28"/>
          <w:szCs w:val="28"/>
        </w:rPr>
        <w:t xml:space="preserve"> высокого риска.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2965" w:rsidRPr="008F3F80" w:rsidRDefault="00AB2965" w:rsidP="00AB29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1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официальном сайте инспекции в сети «Интернет»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адресу: </w:t>
      </w:r>
      <w:hyperlink r:id="rId33" w:history="1">
        <w:r w:rsidRPr="00AB2965">
          <w:rPr>
            <w:rStyle w:val="a4"/>
            <w:rFonts w:ascii="Times New Roman" w:hAnsi="Times New Roman" w:cs="Times New Roman"/>
            <w:sz w:val="28"/>
            <w:szCs w:val="28"/>
          </w:rPr>
          <w:t>http://gsn.nso.ru/page/327</w:t>
        </w:r>
      </w:hyperlink>
      <w:r w:rsidRPr="00AB2965">
        <w:rPr>
          <w:rFonts w:ascii="Times New Roman" w:hAnsi="Times New Roman" w:cs="Times New Roman"/>
          <w:sz w:val="28"/>
          <w:szCs w:val="28"/>
        </w:rPr>
        <w:t xml:space="preserve"> </w:t>
      </w:r>
      <w:r w:rsidRPr="008F3F80">
        <w:rPr>
          <w:rFonts w:ascii="Times New Roman" w:hAnsi="Times New Roman" w:cs="Times New Roman"/>
          <w:sz w:val="28"/>
          <w:szCs w:val="28"/>
        </w:rPr>
        <w:t>размещен перечень наиболее часто встречающихся нарушений обязательных требований при осуществлении регионального государственного строительного надзора на территории Новосибирской области за первое полугодие 2021 года, утвержденный приказом инспекции от 18.06.2021 № 45 «Об утверждении Перечня наиболее часто встречающихся нарушений обязательных требований при осуществлении регионального государственного строительного надзора на территории Новосибирской области за 1 полугодие 2021 года».</w:t>
      </w:r>
    </w:p>
    <w:p w:rsidR="00867680" w:rsidRPr="00121494" w:rsidRDefault="00867680" w:rsidP="0086768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4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1.3. Описание текущего уровня развития программы профилактической деятельности инспекции</w:t>
      </w:r>
    </w:p>
    <w:p w:rsidR="00867680" w:rsidRPr="00121494" w:rsidRDefault="00867680" w:rsidP="00867680">
      <w:pPr>
        <w:spacing w:after="0" w:line="240" w:lineRule="auto"/>
      </w:pPr>
    </w:p>
    <w:p w:rsidR="00960119" w:rsidRDefault="00CC2E26" w:rsidP="00960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897">
        <w:rPr>
          <w:rFonts w:ascii="Times New Roman" w:hAnsi="Times New Roman" w:cs="Times New Roman"/>
          <w:sz w:val="28"/>
          <w:szCs w:val="28"/>
        </w:rPr>
        <w:t xml:space="preserve">В 1 </w:t>
      </w:r>
      <w:r w:rsidR="009728E8">
        <w:rPr>
          <w:rFonts w:ascii="Times New Roman" w:hAnsi="Times New Roman" w:cs="Times New Roman"/>
          <w:sz w:val="28"/>
          <w:szCs w:val="28"/>
        </w:rPr>
        <w:t>полугодии</w:t>
      </w:r>
      <w:r w:rsidRPr="00826897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960119" w:rsidRPr="00826897">
        <w:rPr>
          <w:rFonts w:ascii="Times New Roman" w:hAnsi="Times New Roman" w:cs="Times New Roman"/>
          <w:sz w:val="28"/>
          <w:szCs w:val="28"/>
        </w:rPr>
        <w:t xml:space="preserve"> инспекцией реализован</w:t>
      </w:r>
      <w:r w:rsidR="00F613D4">
        <w:rPr>
          <w:rFonts w:ascii="Times New Roman" w:hAnsi="Times New Roman" w:cs="Times New Roman"/>
          <w:sz w:val="28"/>
          <w:szCs w:val="28"/>
        </w:rPr>
        <w:t>ы</w:t>
      </w:r>
      <w:r w:rsidR="00960119" w:rsidRPr="00826897"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="007D568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960119" w:rsidRPr="00826897">
        <w:rPr>
          <w:rFonts w:ascii="Times New Roman" w:hAnsi="Times New Roman" w:cs="Times New Roman"/>
          <w:sz w:val="28"/>
          <w:szCs w:val="28"/>
        </w:rPr>
        <w:t>программ</w:t>
      </w:r>
      <w:r w:rsidR="007D568C">
        <w:rPr>
          <w:rFonts w:ascii="Times New Roman" w:hAnsi="Times New Roman" w:cs="Times New Roman"/>
          <w:sz w:val="28"/>
          <w:szCs w:val="28"/>
        </w:rPr>
        <w:t>ы</w:t>
      </w:r>
      <w:r w:rsidR="00960119" w:rsidRPr="00826897">
        <w:rPr>
          <w:rFonts w:ascii="Times New Roman" w:hAnsi="Times New Roman" w:cs="Times New Roman"/>
          <w:sz w:val="28"/>
          <w:szCs w:val="28"/>
        </w:rPr>
        <w:t xml:space="preserve"> профилактики нарушений обязательных требований в</w:t>
      </w:r>
      <w:r w:rsidR="000D187D">
        <w:rPr>
          <w:rFonts w:ascii="Times New Roman" w:hAnsi="Times New Roman" w:cs="Times New Roman"/>
          <w:sz w:val="28"/>
          <w:szCs w:val="28"/>
        </w:rPr>
        <w:t> </w:t>
      </w:r>
      <w:r w:rsidR="00960119" w:rsidRPr="00826897">
        <w:rPr>
          <w:rFonts w:ascii="Times New Roman" w:hAnsi="Times New Roman" w:cs="Times New Roman"/>
          <w:sz w:val="28"/>
          <w:szCs w:val="28"/>
        </w:rPr>
        <w:t>сфере строительства, проверяемых инспекцией государственного строительного надзора Новосибирской области при осуществлении регионального государственного строительного надзора</w:t>
      </w:r>
      <w:r w:rsidR="00826897">
        <w:rPr>
          <w:rFonts w:ascii="Times New Roman" w:hAnsi="Times New Roman" w:cs="Times New Roman"/>
          <w:sz w:val="28"/>
          <w:szCs w:val="28"/>
        </w:rPr>
        <w:t xml:space="preserve"> (</w:t>
      </w:r>
      <w:r w:rsidR="00826897" w:rsidRPr="00826897">
        <w:rPr>
          <w:rFonts w:ascii="Times New Roman" w:hAnsi="Times New Roman" w:cs="Times New Roman"/>
          <w:sz w:val="28"/>
          <w:szCs w:val="28"/>
        </w:rPr>
        <w:t>утверждена приказом инспекции от</w:t>
      </w:r>
      <w:r w:rsidR="000D187D">
        <w:rPr>
          <w:rFonts w:ascii="Times New Roman" w:hAnsi="Times New Roman" w:cs="Times New Roman"/>
          <w:sz w:val="28"/>
          <w:szCs w:val="28"/>
        </w:rPr>
        <w:t> </w:t>
      </w:r>
      <w:r w:rsidR="00826897" w:rsidRPr="00826897">
        <w:rPr>
          <w:rFonts w:ascii="Times New Roman" w:hAnsi="Times New Roman" w:cs="Times New Roman"/>
          <w:sz w:val="28"/>
          <w:szCs w:val="28"/>
        </w:rPr>
        <w:t>18.12.2020 № 72</w:t>
      </w:r>
      <w:r w:rsidR="00826897">
        <w:rPr>
          <w:rFonts w:ascii="Times New Roman" w:hAnsi="Times New Roman" w:cs="Times New Roman"/>
          <w:sz w:val="28"/>
          <w:szCs w:val="28"/>
        </w:rPr>
        <w:t>),</w:t>
      </w:r>
      <w:r w:rsidR="00960119" w:rsidRPr="00826897">
        <w:rPr>
          <w:rFonts w:ascii="Times New Roman" w:hAnsi="Times New Roman" w:cs="Times New Roman"/>
          <w:sz w:val="28"/>
          <w:szCs w:val="28"/>
        </w:rPr>
        <w:t xml:space="preserve"> </w:t>
      </w:r>
      <w:r w:rsidR="00826897">
        <w:rPr>
          <w:rFonts w:ascii="Times New Roman" w:hAnsi="Times New Roman" w:cs="Times New Roman"/>
          <w:sz w:val="28"/>
          <w:szCs w:val="28"/>
        </w:rPr>
        <w:t>запланированн</w:t>
      </w:r>
      <w:r w:rsidR="007D568C">
        <w:rPr>
          <w:rFonts w:ascii="Times New Roman" w:hAnsi="Times New Roman" w:cs="Times New Roman"/>
          <w:sz w:val="28"/>
          <w:szCs w:val="28"/>
        </w:rPr>
        <w:t>ые</w:t>
      </w:r>
      <w:r w:rsidRPr="00826897">
        <w:rPr>
          <w:rFonts w:ascii="Times New Roman" w:hAnsi="Times New Roman" w:cs="Times New Roman"/>
          <w:sz w:val="28"/>
          <w:szCs w:val="28"/>
        </w:rPr>
        <w:t xml:space="preserve"> </w:t>
      </w:r>
      <w:r w:rsidR="00960119" w:rsidRPr="00826897">
        <w:rPr>
          <w:rFonts w:ascii="Times New Roman" w:hAnsi="Times New Roman" w:cs="Times New Roman"/>
          <w:sz w:val="28"/>
          <w:szCs w:val="28"/>
        </w:rPr>
        <w:t xml:space="preserve">на </w:t>
      </w:r>
      <w:r w:rsidR="009E4834" w:rsidRPr="00826897">
        <w:rPr>
          <w:rFonts w:ascii="Times New Roman" w:hAnsi="Times New Roman" w:cs="Times New Roman"/>
          <w:sz w:val="28"/>
          <w:szCs w:val="28"/>
        </w:rPr>
        <w:t xml:space="preserve">1 </w:t>
      </w:r>
      <w:r w:rsidR="00B4175A">
        <w:rPr>
          <w:rFonts w:ascii="Times New Roman" w:hAnsi="Times New Roman" w:cs="Times New Roman"/>
          <w:sz w:val="28"/>
          <w:szCs w:val="28"/>
        </w:rPr>
        <w:t>полугодие</w:t>
      </w:r>
      <w:r w:rsidR="009E4834" w:rsidRPr="00826897">
        <w:rPr>
          <w:rFonts w:ascii="Times New Roman" w:hAnsi="Times New Roman" w:cs="Times New Roman"/>
          <w:sz w:val="28"/>
          <w:szCs w:val="28"/>
        </w:rPr>
        <w:t xml:space="preserve"> </w:t>
      </w:r>
      <w:r w:rsidR="00960119" w:rsidRPr="00826897">
        <w:rPr>
          <w:rFonts w:ascii="Times New Roman" w:hAnsi="Times New Roman" w:cs="Times New Roman"/>
          <w:sz w:val="28"/>
          <w:szCs w:val="28"/>
        </w:rPr>
        <w:t>202</w:t>
      </w:r>
      <w:r w:rsidR="009E4834" w:rsidRPr="00826897">
        <w:rPr>
          <w:rFonts w:ascii="Times New Roman" w:hAnsi="Times New Roman" w:cs="Times New Roman"/>
          <w:sz w:val="28"/>
          <w:szCs w:val="28"/>
        </w:rPr>
        <w:t>1</w:t>
      </w:r>
      <w:r w:rsidR="00960119" w:rsidRPr="00826897">
        <w:rPr>
          <w:rFonts w:ascii="Times New Roman" w:hAnsi="Times New Roman" w:cs="Times New Roman"/>
          <w:sz w:val="28"/>
          <w:szCs w:val="28"/>
        </w:rPr>
        <w:t xml:space="preserve"> год</w:t>
      </w:r>
      <w:r w:rsidR="00165323">
        <w:rPr>
          <w:rFonts w:ascii="Times New Roman" w:hAnsi="Times New Roman" w:cs="Times New Roman"/>
          <w:sz w:val="28"/>
          <w:szCs w:val="28"/>
        </w:rPr>
        <w:t>а</w:t>
      </w:r>
      <w:r w:rsidR="00960119" w:rsidRPr="00826897">
        <w:rPr>
          <w:rFonts w:ascii="Times New Roman" w:hAnsi="Times New Roman" w:cs="Times New Roman"/>
          <w:sz w:val="28"/>
          <w:szCs w:val="28"/>
        </w:rPr>
        <w:t>,</w:t>
      </w:r>
      <w:r w:rsidR="00960119" w:rsidRPr="00826897">
        <w:rPr>
          <w:rFonts w:ascii="Times New Roman" w:hAnsi="Times New Roman" w:cs="Times New Roman"/>
          <w:bCs/>
          <w:sz w:val="28"/>
          <w:szCs w:val="28"/>
        </w:rPr>
        <w:t xml:space="preserve"> в том числе:</w:t>
      </w:r>
    </w:p>
    <w:p w:rsidR="000E797F" w:rsidRDefault="000E797F" w:rsidP="00960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8129B8">
        <w:rPr>
          <w:rFonts w:ascii="Times New Roman" w:hAnsi="Times New Roman" w:cs="Times New Roman"/>
          <w:bCs/>
          <w:sz w:val="28"/>
          <w:szCs w:val="28"/>
        </w:rPr>
        <w:t>своевременно осуществлялся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мониторинг изменений нормативных правовых</w:t>
      </w:r>
      <w:r w:rsidR="004B22CE">
        <w:rPr>
          <w:rFonts w:ascii="Times New Roman" w:hAnsi="Times New Roman" w:cs="Times New Roman"/>
          <w:bCs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включенных в </w:t>
      </w:r>
      <w:r w:rsidRPr="000E797F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строительного надзора </w:t>
      </w:r>
      <w:r>
        <w:rPr>
          <w:rFonts w:ascii="Times New Roman" w:hAnsi="Times New Roman" w:cs="Times New Roman"/>
          <w:bCs/>
          <w:sz w:val="28"/>
          <w:szCs w:val="28"/>
        </w:rPr>
        <w:t>(далее – Перечень);</w:t>
      </w:r>
    </w:p>
    <w:p w:rsidR="000E797F" w:rsidRDefault="00CB3D55" w:rsidP="00960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D55">
        <w:rPr>
          <w:rFonts w:ascii="Times New Roman" w:hAnsi="Times New Roman" w:cs="Times New Roman"/>
          <w:bCs/>
          <w:sz w:val="24"/>
          <w:szCs w:val="24"/>
        </w:rPr>
        <w:t>●</w:t>
      </w:r>
      <w:r w:rsidR="000E797F">
        <w:rPr>
          <w:rFonts w:ascii="Times New Roman" w:hAnsi="Times New Roman" w:cs="Times New Roman"/>
          <w:bCs/>
          <w:sz w:val="28"/>
          <w:szCs w:val="28"/>
        </w:rPr>
        <w:t xml:space="preserve"> на официальном сайте инспекции в сети «Интернет» по адресу: </w:t>
      </w:r>
      <w:hyperlink r:id="rId34" w:history="1">
        <w:r w:rsidR="000E797F" w:rsidRPr="009A044C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https://gsn.nso.ru/page/206</w:t>
        </w:r>
      </w:hyperlink>
      <w:r w:rsidR="000E797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E797F" w:rsidRPr="000E797F">
        <w:rPr>
          <w:rFonts w:ascii="Times New Roman" w:hAnsi="Times New Roman" w:cs="Times New Roman"/>
          <w:bCs/>
          <w:sz w:val="28"/>
          <w:szCs w:val="28"/>
        </w:rPr>
        <w:t xml:space="preserve">размещен </w:t>
      </w:r>
      <w:hyperlink r:id="rId35" w:history="1">
        <w:r w:rsidR="000E797F" w:rsidRPr="000E797F">
          <w:rPr>
            <w:rFonts w:ascii="Times New Roman" w:hAnsi="Times New Roman" w:cs="Times New Roman"/>
            <w:sz w:val="28"/>
            <w:szCs w:val="28"/>
          </w:rPr>
          <w:t>Перечень (в редакции приказа инспекции от</w:t>
        </w:r>
        <w:r w:rsidR="000D187D">
          <w:rPr>
            <w:rFonts w:ascii="Times New Roman" w:hAnsi="Times New Roman" w:cs="Times New Roman"/>
            <w:sz w:val="28"/>
            <w:szCs w:val="28"/>
          </w:rPr>
          <w:t> </w:t>
        </w:r>
        <w:r w:rsidR="000E797F" w:rsidRPr="000E797F">
          <w:rPr>
            <w:rFonts w:ascii="Times New Roman" w:hAnsi="Times New Roman" w:cs="Times New Roman"/>
            <w:sz w:val="28"/>
            <w:szCs w:val="28"/>
          </w:rPr>
          <w:t>10.02.2021 № 19)</w:t>
        </w:r>
      </w:hyperlink>
      <w:r w:rsidR="000E797F">
        <w:rPr>
          <w:rFonts w:ascii="Times New Roman" w:hAnsi="Times New Roman" w:cs="Times New Roman"/>
          <w:sz w:val="28"/>
          <w:szCs w:val="28"/>
        </w:rPr>
        <w:t>;</w:t>
      </w:r>
    </w:p>
    <w:p w:rsidR="009E4834" w:rsidRPr="009E4834" w:rsidRDefault="00CB3D55" w:rsidP="00960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D55">
        <w:rPr>
          <w:rFonts w:ascii="Times New Roman" w:hAnsi="Times New Roman" w:cs="Times New Roman"/>
          <w:bCs/>
          <w:sz w:val="24"/>
          <w:szCs w:val="24"/>
        </w:rPr>
        <w:t>●</w:t>
      </w:r>
      <w:r w:rsidR="00960119" w:rsidRPr="009E4834">
        <w:rPr>
          <w:rFonts w:ascii="Times New Roman" w:hAnsi="Times New Roman" w:cs="Times New Roman"/>
          <w:bCs/>
          <w:sz w:val="28"/>
          <w:szCs w:val="28"/>
        </w:rPr>
        <w:t xml:space="preserve"> проведено </w:t>
      </w:r>
      <w:r w:rsidR="00B4175A">
        <w:rPr>
          <w:rFonts w:ascii="Times New Roman" w:hAnsi="Times New Roman" w:cs="Times New Roman"/>
          <w:bCs/>
          <w:sz w:val="28"/>
          <w:szCs w:val="28"/>
        </w:rPr>
        <w:t>три</w:t>
      </w:r>
      <w:r w:rsidR="00960119" w:rsidRPr="009E4834">
        <w:rPr>
          <w:rFonts w:ascii="Times New Roman" w:hAnsi="Times New Roman" w:cs="Times New Roman"/>
          <w:bCs/>
          <w:sz w:val="28"/>
          <w:szCs w:val="28"/>
        </w:rPr>
        <w:t xml:space="preserve"> публичных мероприятия для поднадзорных субъектов</w:t>
      </w:r>
      <w:r w:rsidR="009E4834" w:rsidRPr="009E483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E4834" w:rsidRPr="009E4834" w:rsidRDefault="00CB3D55" w:rsidP="00960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9E4834">
        <w:rPr>
          <w:rFonts w:ascii="Times New Roman" w:hAnsi="Times New Roman" w:cs="Times New Roman"/>
          <w:bCs/>
          <w:sz w:val="28"/>
          <w:szCs w:val="28"/>
        </w:rPr>
        <w:t>с</w:t>
      </w:r>
      <w:r w:rsidR="009E4834" w:rsidRPr="009E4834">
        <w:rPr>
          <w:rFonts w:ascii="Times New Roman" w:hAnsi="Times New Roman" w:cs="Times New Roman"/>
          <w:sz w:val="28"/>
          <w:szCs w:val="28"/>
        </w:rPr>
        <w:t>еминар на тему: «Безопасность в строительстве. Организация работ при строительстве и реконструкции объектов капитального строительства»</w:t>
      </w:r>
      <w:r w:rsidR="009E4834">
        <w:rPr>
          <w:rFonts w:ascii="Times New Roman" w:hAnsi="Times New Roman" w:cs="Times New Roman"/>
          <w:sz w:val="28"/>
          <w:szCs w:val="28"/>
        </w:rPr>
        <w:t xml:space="preserve"> (информация о результатах проведения размещена по адресу: </w:t>
      </w:r>
      <w:hyperlink r:id="rId36" w:history="1">
        <w:r w:rsidR="009E4834" w:rsidRPr="009A044C">
          <w:rPr>
            <w:rStyle w:val="a4"/>
            <w:rFonts w:ascii="Times New Roman" w:hAnsi="Times New Roman" w:cs="Times New Roman"/>
            <w:sz w:val="28"/>
            <w:szCs w:val="28"/>
          </w:rPr>
          <w:t>https://gsn.nso.ru/page/465</w:t>
        </w:r>
      </w:hyperlink>
      <w:r w:rsidR="009E4834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CB3D55" w:rsidRDefault="00CB3D55" w:rsidP="00CB3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E4834">
        <w:rPr>
          <w:rFonts w:ascii="Times New Roman" w:hAnsi="Times New Roman" w:cs="Times New Roman"/>
          <w:sz w:val="28"/>
          <w:szCs w:val="28"/>
        </w:rPr>
        <w:t> публичные обсуждения правоприменительной практики надзорной деятельности инспекции (и</w:t>
      </w:r>
      <w:r w:rsidR="00960119">
        <w:rPr>
          <w:rFonts w:ascii="Times New Roman" w:hAnsi="Times New Roman" w:cs="Times New Roman"/>
          <w:sz w:val="28"/>
          <w:szCs w:val="28"/>
        </w:rPr>
        <w:t>нформация о результатах проведения размещена по</w:t>
      </w:r>
      <w:r w:rsidR="000D187D">
        <w:rPr>
          <w:rFonts w:ascii="Times New Roman" w:hAnsi="Times New Roman" w:cs="Times New Roman"/>
          <w:sz w:val="28"/>
          <w:szCs w:val="28"/>
        </w:rPr>
        <w:t> </w:t>
      </w:r>
      <w:r w:rsidR="00960119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37" w:history="1">
        <w:r w:rsidR="009E4834" w:rsidRPr="009A044C">
          <w:rPr>
            <w:rStyle w:val="a4"/>
            <w:rFonts w:ascii="Times New Roman" w:hAnsi="Times New Roman" w:cs="Times New Roman"/>
            <w:sz w:val="28"/>
            <w:szCs w:val="28"/>
          </w:rPr>
          <w:t>http://gsn.nso.ru/page/471</w:t>
        </w:r>
      </w:hyperlink>
      <w:r w:rsidR="009E4834">
        <w:rPr>
          <w:rFonts w:ascii="Times New Roman" w:hAnsi="Times New Roman" w:cs="Times New Roman"/>
          <w:sz w:val="28"/>
          <w:szCs w:val="28"/>
        </w:rPr>
        <w:t>)</w:t>
      </w:r>
      <w:r w:rsidR="00B4175A">
        <w:rPr>
          <w:rFonts w:ascii="Times New Roman" w:hAnsi="Times New Roman" w:cs="Times New Roman"/>
          <w:sz w:val="28"/>
          <w:szCs w:val="28"/>
        </w:rPr>
        <w:t>;</w:t>
      </w:r>
    </w:p>
    <w:p w:rsidR="00B4175A" w:rsidRPr="00B4175A" w:rsidRDefault="00B4175A" w:rsidP="008F3F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hyperlink r:id="rId38" w:history="1">
        <w:r w:rsidR="0080228F" w:rsidRPr="001C50C9">
          <w:rPr>
            <w:rStyle w:val="a4"/>
            <w:rFonts w:ascii="Times New Roman" w:hAnsi="Times New Roman" w:cs="Times New Roman"/>
            <w:sz w:val="28"/>
            <w:szCs w:val="28"/>
          </w:rPr>
          <w:t>семинар по теме: «Ответственность за нарушение законодательства о градостроительной деятельности. Виды ответственности и порядок применения» (информация о результатах проведения размещена по адресу: http://gsn.nso.ru/page/483)</w:t>
        </w:r>
      </w:hyperlink>
    </w:p>
    <w:p w:rsidR="004B22CE" w:rsidRDefault="004B22CE" w:rsidP="008F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необходимая информация, включая доклады, презентации, аудиозаписи выступлений</w:t>
      </w:r>
      <w:r w:rsidR="00165323">
        <w:rPr>
          <w:rFonts w:ascii="Times New Roman" w:hAnsi="Times New Roman" w:cs="Times New Roman"/>
          <w:sz w:val="28"/>
          <w:szCs w:val="28"/>
        </w:rPr>
        <w:t xml:space="preserve"> и т.п. размещены по указанным адресам.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D55" w:rsidRPr="00CB3D55" w:rsidRDefault="00CB3D55" w:rsidP="008F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55">
        <w:rPr>
          <w:rFonts w:ascii="Times New Roman" w:hAnsi="Times New Roman" w:cs="Times New Roman"/>
          <w:bCs/>
          <w:sz w:val="24"/>
          <w:szCs w:val="24"/>
        </w:rPr>
        <w:t>●</w:t>
      </w:r>
      <w:r w:rsidRPr="00CB3D55">
        <w:rPr>
          <w:rFonts w:ascii="Times New Roman" w:hAnsi="Times New Roman" w:cs="Times New Roman"/>
          <w:sz w:val="28"/>
          <w:szCs w:val="28"/>
        </w:rPr>
        <w:t xml:space="preserve"> на постоянной основе </w:t>
      </w:r>
      <w:r w:rsidR="00127EC6">
        <w:rPr>
          <w:rFonts w:ascii="Times New Roman" w:hAnsi="Times New Roman" w:cs="Times New Roman"/>
          <w:sz w:val="28"/>
          <w:szCs w:val="28"/>
        </w:rPr>
        <w:t xml:space="preserve">должностными лицами инспекции в ходе проведения надзорных мероприятий, иными лицами в ходе проведения публичных мероприятий, </w:t>
      </w:r>
      <w:r w:rsidR="00127EC6" w:rsidRPr="00CB3D55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127EC6">
        <w:rPr>
          <w:rFonts w:ascii="Times New Roman" w:hAnsi="Times New Roman" w:cs="Times New Roman"/>
          <w:sz w:val="28"/>
          <w:szCs w:val="28"/>
        </w:rPr>
        <w:t>направления ответов на запросы поднадзорных субъектов</w:t>
      </w:r>
      <w:r w:rsidR="00127EC6" w:rsidRPr="00CB3D55">
        <w:rPr>
          <w:rFonts w:ascii="Times New Roman" w:hAnsi="Times New Roman" w:cs="Times New Roman"/>
          <w:sz w:val="28"/>
          <w:szCs w:val="28"/>
        </w:rPr>
        <w:t xml:space="preserve"> </w:t>
      </w:r>
      <w:r w:rsidRPr="00CB3D55">
        <w:rPr>
          <w:rFonts w:ascii="Times New Roman" w:hAnsi="Times New Roman" w:cs="Times New Roman"/>
          <w:sz w:val="28"/>
          <w:szCs w:val="28"/>
        </w:rPr>
        <w:t>проводилось информирование юридических лиц, индивидуальных предпринимателей по вопросам соблюдения обязательных требований</w:t>
      </w:r>
      <w:r w:rsidR="00127EC6">
        <w:rPr>
          <w:rFonts w:ascii="Times New Roman" w:hAnsi="Times New Roman" w:cs="Times New Roman"/>
          <w:sz w:val="28"/>
          <w:szCs w:val="28"/>
        </w:rPr>
        <w:t>;</w:t>
      </w:r>
    </w:p>
    <w:p w:rsidR="00960119" w:rsidRDefault="00127EC6" w:rsidP="00960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D55">
        <w:rPr>
          <w:rFonts w:ascii="Times New Roman" w:hAnsi="Times New Roman" w:cs="Times New Roman"/>
          <w:bCs/>
          <w:sz w:val="24"/>
          <w:szCs w:val="24"/>
        </w:rPr>
        <w:t>●</w:t>
      </w:r>
      <w:r w:rsidR="00960119">
        <w:rPr>
          <w:rFonts w:ascii="Times New Roman" w:hAnsi="Times New Roman" w:cs="Times New Roman"/>
          <w:sz w:val="28"/>
          <w:szCs w:val="28"/>
        </w:rPr>
        <w:t xml:space="preserve"> оказано </w:t>
      </w:r>
      <w:r w:rsidR="008F3F80">
        <w:rPr>
          <w:rFonts w:ascii="Times New Roman" w:hAnsi="Times New Roman" w:cs="Times New Roman"/>
          <w:sz w:val="28"/>
          <w:szCs w:val="28"/>
        </w:rPr>
        <w:t>20</w:t>
      </w:r>
      <w:r w:rsidR="00960119" w:rsidRPr="00DD254A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60119" w:rsidRPr="00DD254A">
        <w:rPr>
          <w:rFonts w:ascii="Times New Roman" w:hAnsi="Times New Roman" w:cs="Times New Roman"/>
          <w:sz w:val="28"/>
          <w:szCs w:val="28"/>
        </w:rPr>
        <w:t xml:space="preserve"> поднадзорным субъектам по</w:t>
      </w:r>
      <w:r w:rsidR="00960119">
        <w:rPr>
          <w:rFonts w:ascii="Times New Roman" w:hAnsi="Times New Roman" w:cs="Times New Roman"/>
          <w:sz w:val="28"/>
          <w:szCs w:val="28"/>
        </w:rPr>
        <w:t> вопросам применения нормативных правовых актов, устанавливающих обязательные требования (о</w:t>
      </w:r>
      <w:r w:rsidR="00960119">
        <w:rPr>
          <w:rFonts w:ascii="Times New Roman" w:eastAsia="Times New Roman" w:hAnsi="Times New Roman"/>
          <w:sz w:val="28"/>
          <w:szCs w:val="28"/>
          <w:lang w:eastAsia="ru-RU"/>
        </w:rPr>
        <w:t xml:space="preserve">тветы на поступившие вопросы обнародованы по адресу: </w:t>
      </w:r>
      <w:hyperlink r:id="rId39" w:history="1">
        <w:r w:rsidRPr="009A044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https://gsn.nso.ru/page/477</w:t>
        </w:r>
      </w:hyperlink>
      <w:r w:rsidR="00960119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r w:rsidR="00960119">
        <w:rPr>
          <w:rFonts w:ascii="Times New Roman" w:hAnsi="Times New Roman" w:cs="Times New Roman"/>
          <w:sz w:val="28"/>
          <w:szCs w:val="28"/>
        </w:rPr>
        <w:t>;</w:t>
      </w:r>
    </w:p>
    <w:p w:rsidR="00FE4892" w:rsidRDefault="00165323" w:rsidP="00960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D55">
        <w:rPr>
          <w:rFonts w:ascii="Times New Roman" w:hAnsi="Times New Roman" w:cs="Times New Roman"/>
          <w:bCs/>
          <w:sz w:val="24"/>
          <w:szCs w:val="24"/>
        </w:rPr>
        <w:t>●</w:t>
      </w:r>
      <w:r w:rsidR="00960119">
        <w:rPr>
          <w:rFonts w:ascii="Times New Roman" w:hAnsi="Times New Roman" w:cs="Times New Roman"/>
          <w:sz w:val="28"/>
          <w:szCs w:val="28"/>
        </w:rPr>
        <w:t xml:space="preserve"> проведено </w:t>
      </w:r>
      <w:r w:rsidR="008F3F80">
        <w:rPr>
          <w:rFonts w:ascii="Times New Roman" w:hAnsi="Times New Roman" w:cs="Times New Roman"/>
          <w:sz w:val="28"/>
          <w:szCs w:val="28"/>
        </w:rPr>
        <w:t>более 70</w:t>
      </w:r>
      <w:r w:rsidR="00960119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FE4892">
        <w:rPr>
          <w:rFonts w:ascii="Times New Roman" w:hAnsi="Times New Roman" w:cs="Times New Roman"/>
          <w:sz w:val="28"/>
          <w:szCs w:val="28"/>
        </w:rPr>
        <w:t xml:space="preserve"> с представителями поднадзорных субъектов по проблемным вопросам, возникающим в ходе строительства, реконструкции объектов капитального строительства, </w:t>
      </w:r>
      <w:r w:rsidR="00FE489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</w:t>
      </w:r>
      <w:r w:rsidR="0051568B">
        <w:rPr>
          <w:rFonts w:ascii="Times New Roman" w:eastAsia="Times New Roman" w:hAnsi="Times New Roman"/>
          <w:sz w:val="28"/>
          <w:szCs w:val="28"/>
          <w:lang w:eastAsia="ru-RU"/>
        </w:rPr>
        <w:t>участие в публичн</w:t>
      </w:r>
      <w:r w:rsidR="00FE4892">
        <w:rPr>
          <w:rFonts w:ascii="Times New Roman" w:eastAsia="Times New Roman" w:hAnsi="Times New Roman"/>
          <w:sz w:val="28"/>
          <w:szCs w:val="28"/>
          <w:lang w:eastAsia="ru-RU"/>
        </w:rPr>
        <w:t>ом мероприятии</w:t>
      </w:r>
      <w:r w:rsidR="0051568B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круглого стола на тему «</w:t>
      </w:r>
      <w:r w:rsidR="0051568B" w:rsidRPr="005156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BIM-технологий в строительной </w:t>
      </w:r>
      <w:r w:rsidR="0051568B" w:rsidRPr="005156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отрасли Новосибирской области</w:t>
      </w:r>
      <w:r w:rsidR="0051568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E48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D1EEF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 w:rsidR="008F3F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D1EEF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9F22AC">
        <w:rPr>
          <w:rFonts w:ascii="Times New Roman" w:eastAsia="Times New Roman" w:hAnsi="Times New Roman"/>
          <w:sz w:val="28"/>
          <w:szCs w:val="28"/>
          <w:lang w:eastAsia="ru-RU"/>
        </w:rPr>
        <w:t>семинаров</w:t>
      </w:r>
      <w:r w:rsidR="00FE4892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совещани</w:t>
      </w:r>
      <w:r w:rsidR="009F22A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FE4892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посвященных </w:t>
      </w:r>
      <w:r w:rsidR="00FE4892">
        <w:rPr>
          <w:rFonts w:ascii="Times New Roman" w:hAnsi="Times New Roman" w:cs="Times New Roman"/>
          <w:sz w:val="28"/>
          <w:szCs w:val="28"/>
        </w:rPr>
        <w:t>проблемам в области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119" w:rsidRDefault="00960119" w:rsidP="00960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Инспекция обеспечивает достоверность и актуальность всей информации, связанной с профилактикой нарушений обязательных требований.</w:t>
      </w:r>
    </w:p>
    <w:p w:rsidR="00960119" w:rsidRDefault="00960119" w:rsidP="00960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Поднадзорные субъекты имеют возможность использовать информационные технологии. Например, посредством размещения электронной формы для обратной связи по вопросам, связанным с содержанием, ведением и применением перечня обязательных требований.</w:t>
      </w:r>
    </w:p>
    <w:p w:rsidR="008129B8" w:rsidRDefault="008129B8" w:rsidP="00812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инспекции в сети «Интернет» по адресу: </w:t>
      </w:r>
      <w:hyperlink r:id="rId40" w:history="1">
        <w:r w:rsidRPr="00A42379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http://gsn.nso.ru/page/328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r w:rsidR="001653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в подразделе «Профилактика нарушений обязательных требований», действует подписка пользователей официального сайта на рассылку электронных сообщений с информацией связанной с профилактикой нарушений обязательных требований, а так же иной информации важной для поднадзорных субъектов.</w:t>
      </w:r>
    </w:p>
    <w:p w:rsidR="005173CF" w:rsidRDefault="00960119" w:rsidP="004B2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деятельности инспекция стремится к сбалансированному сочетанию надзорных мероприятий с профилактическими. </w:t>
      </w:r>
    </w:p>
    <w:p w:rsidR="005173CF" w:rsidRDefault="005173CF" w:rsidP="005173CF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B52DC">
        <w:rPr>
          <w:rFonts w:eastAsia="Calibri"/>
          <w:sz w:val="28"/>
          <w:szCs w:val="28"/>
          <w:lang w:eastAsia="en-US"/>
        </w:rPr>
        <w:t xml:space="preserve">В результате реализации программы профилактики ожидается повышение уровня информированности, правовой грамотности </w:t>
      </w:r>
      <w:r w:rsidRPr="002E6D54">
        <w:rPr>
          <w:rFonts w:eastAsia="Calibri"/>
          <w:sz w:val="28"/>
          <w:szCs w:val="28"/>
          <w:lang w:eastAsia="en-US"/>
        </w:rPr>
        <w:t>поднадзорных</w:t>
      </w:r>
      <w:r w:rsidRPr="006B52DC">
        <w:rPr>
          <w:rFonts w:eastAsia="Calibri"/>
          <w:sz w:val="28"/>
          <w:szCs w:val="28"/>
          <w:lang w:eastAsia="en-US"/>
        </w:rPr>
        <w:t xml:space="preserve"> субъектов по вопросам соблюдения обязательных требований, что позволит региональному государственному строительному надзору стать более о</w:t>
      </w:r>
      <w:r>
        <w:rPr>
          <w:sz w:val="28"/>
          <w:szCs w:val="28"/>
        </w:rPr>
        <w:t>ткрытым для взаимодействия с поднадзорными субъектами в целях достижения общего для всех сторон результата – предотвращение рисков причинения вреда охраняемым законом ценностям</w:t>
      </w:r>
      <w:r w:rsidRPr="00744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подконтрольной сфере общественных отношений, </w:t>
      </w:r>
      <w:r w:rsidRPr="0017550E">
        <w:rPr>
          <w:sz w:val="28"/>
          <w:szCs w:val="28"/>
        </w:rPr>
        <w:t xml:space="preserve">предупреждение нарушений </w:t>
      </w:r>
      <w:r>
        <w:rPr>
          <w:sz w:val="28"/>
          <w:szCs w:val="28"/>
        </w:rPr>
        <w:t>поднадзорными</w:t>
      </w:r>
      <w:r w:rsidRPr="0017550E">
        <w:rPr>
          <w:sz w:val="28"/>
          <w:szCs w:val="28"/>
        </w:rPr>
        <w:t xml:space="preserve"> субъектами обязательных требований </w:t>
      </w:r>
      <w:r>
        <w:rPr>
          <w:sz w:val="28"/>
          <w:szCs w:val="28"/>
        </w:rPr>
        <w:t>и отвечать потребностям предпринимательской среды в получении качественной и</w:t>
      </w:r>
      <w:r w:rsidR="000D187D">
        <w:rPr>
          <w:sz w:val="28"/>
          <w:szCs w:val="28"/>
        </w:rPr>
        <w:t> </w:t>
      </w:r>
      <w:r>
        <w:rPr>
          <w:sz w:val="28"/>
          <w:szCs w:val="28"/>
        </w:rPr>
        <w:t>доступной информации по возникающим вопросам соблюдения обязательных требований.</w:t>
      </w:r>
    </w:p>
    <w:p w:rsidR="004B22CE" w:rsidRDefault="004B22CE" w:rsidP="005173CF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A86CB4">
        <w:rPr>
          <w:sz w:val="28"/>
          <w:szCs w:val="28"/>
        </w:rPr>
        <w:t>С учетом вышеизложенного, программ</w:t>
      </w:r>
      <w:r w:rsidR="009F22AC">
        <w:rPr>
          <w:sz w:val="28"/>
          <w:szCs w:val="28"/>
        </w:rPr>
        <w:t>ой</w:t>
      </w:r>
      <w:r w:rsidRPr="00A86CB4">
        <w:rPr>
          <w:sz w:val="28"/>
          <w:szCs w:val="28"/>
        </w:rPr>
        <w:t xml:space="preserve"> профилактики </w:t>
      </w:r>
      <w:r>
        <w:rPr>
          <w:sz w:val="28"/>
          <w:szCs w:val="28"/>
        </w:rPr>
        <w:t xml:space="preserve">в 1 </w:t>
      </w:r>
      <w:r w:rsidR="008F3F80">
        <w:rPr>
          <w:sz w:val="28"/>
          <w:szCs w:val="28"/>
        </w:rPr>
        <w:t>полугодии</w:t>
      </w:r>
      <w:r w:rsidRPr="00A86CB4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86CB4">
        <w:rPr>
          <w:sz w:val="28"/>
          <w:szCs w:val="28"/>
        </w:rPr>
        <w:t xml:space="preserve"> год</w:t>
      </w:r>
      <w:r w:rsidR="00165323">
        <w:rPr>
          <w:sz w:val="28"/>
          <w:szCs w:val="28"/>
        </w:rPr>
        <w:t>а</w:t>
      </w:r>
      <w:r w:rsidRPr="00A86CB4">
        <w:rPr>
          <w:sz w:val="28"/>
          <w:szCs w:val="28"/>
        </w:rPr>
        <w:t xml:space="preserve"> </w:t>
      </w:r>
      <w:r w:rsidR="009F22AC">
        <w:rPr>
          <w:sz w:val="28"/>
          <w:szCs w:val="28"/>
        </w:rPr>
        <w:t>обеспечена особая</w:t>
      </w:r>
      <w:r w:rsidRPr="00A86CB4">
        <w:rPr>
          <w:sz w:val="28"/>
          <w:szCs w:val="28"/>
        </w:rPr>
        <w:t xml:space="preserve"> эффективность профилактической работы инспекции</w:t>
      </w:r>
      <w:r>
        <w:rPr>
          <w:sz w:val="28"/>
          <w:szCs w:val="28"/>
        </w:rPr>
        <w:t>.</w:t>
      </w:r>
    </w:p>
    <w:p w:rsidR="00524C1A" w:rsidRPr="008129B8" w:rsidRDefault="00524C1A" w:rsidP="00517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24C1A" w:rsidRPr="008129B8" w:rsidSect="000B2292">
      <w:headerReference w:type="default" r:id="rId4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29" w:rsidRDefault="00AB2B29" w:rsidP="00DF4D95">
      <w:pPr>
        <w:spacing w:after="0" w:line="240" w:lineRule="auto"/>
      </w:pPr>
      <w:r>
        <w:separator/>
      </w:r>
    </w:p>
  </w:endnote>
  <w:endnote w:type="continuationSeparator" w:id="0">
    <w:p w:rsidR="00AB2B29" w:rsidRDefault="00AB2B29" w:rsidP="00DF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29" w:rsidRDefault="00AB2B29" w:rsidP="00DF4D95">
      <w:pPr>
        <w:spacing w:after="0" w:line="240" w:lineRule="auto"/>
      </w:pPr>
      <w:r>
        <w:separator/>
      </w:r>
    </w:p>
  </w:footnote>
  <w:footnote w:type="continuationSeparator" w:id="0">
    <w:p w:rsidR="00AB2B29" w:rsidRDefault="00AB2B29" w:rsidP="00DF4D95">
      <w:pPr>
        <w:spacing w:after="0" w:line="240" w:lineRule="auto"/>
      </w:pPr>
      <w:r>
        <w:continuationSeparator/>
      </w:r>
    </w:p>
  </w:footnote>
  <w:footnote w:id="1">
    <w:p w:rsidR="00867680" w:rsidRDefault="00867680" w:rsidP="00867680">
      <w:pPr>
        <w:pStyle w:val="a7"/>
      </w:pPr>
      <w:r w:rsidRPr="002917D3">
        <w:rPr>
          <w:rStyle w:val="a9"/>
          <w:sz w:val="24"/>
          <w:szCs w:val="24"/>
        </w:rPr>
        <w:footnoteRef/>
      </w:r>
      <w:r>
        <w:t xml:space="preserve"> </w:t>
      </w:r>
      <w:r w:rsidRPr="002917D3">
        <w:rPr>
          <w:rFonts w:ascii="Times New Roman" w:hAnsi="Times New Roman" w:cs="Times New Roman"/>
          <w:sz w:val="24"/>
          <w:szCs w:val="24"/>
        </w:rPr>
        <w:t>По объектам капитального строительства, находящи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917D3">
        <w:rPr>
          <w:rFonts w:ascii="Times New Roman" w:hAnsi="Times New Roman" w:cs="Times New Roman"/>
          <w:sz w:val="24"/>
          <w:szCs w:val="24"/>
        </w:rPr>
        <w:t>ся в надзоре инспекции с 01.01.2018.</w:t>
      </w:r>
    </w:p>
  </w:footnote>
  <w:footnote w:id="2">
    <w:p w:rsidR="00B3039D" w:rsidRPr="00C409CC" w:rsidRDefault="00B3039D" w:rsidP="00960119">
      <w:pPr>
        <w:pStyle w:val="a7"/>
        <w:jc w:val="both"/>
        <w:rPr>
          <w:rFonts w:ascii="Times New Roman" w:hAnsi="Times New Roman" w:cs="Times New Roman"/>
        </w:rPr>
      </w:pPr>
      <w:r w:rsidRPr="00C409CC">
        <w:rPr>
          <w:rStyle w:val="a9"/>
          <w:rFonts w:ascii="Times New Roman" w:hAnsi="Times New Roman" w:cs="Times New Roman"/>
        </w:rPr>
        <w:footnoteRef/>
      </w:r>
      <w:r w:rsidRPr="00C409CC">
        <w:rPr>
          <w:rFonts w:ascii="Times New Roman" w:hAnsi="Times New Roman" w:cs="Times New Roman"/>
        </w:rPr>
        <w:t> Рассчитывается как отношение количества выявленных нарушений к количеству проведенных проверок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113634"/>
      <w:docPartObj>
        <w:docPartGallery w:val="Page Numbers (Top of Page)"/>
        <w:docPartUnique/>
      </w:docPartObj>
    </w:sdtPr>
    <w:sdtEndPr/>
    <w:sdtContent>
      <w:p w:rsidR="00DF4D95" w:rsidRDefault="00DF4D95">
        <w:pPr>
          <w:pStyle w:val="ac"/>
          <w:jc w:val="center"/>
        </w:pPr>
        <w:r w:rsidRPr="00DF4D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4D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4D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4726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DF4D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F4D95" w:rsidRDefault="00DF4D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A1B"/>
    <w:multiLevelType w:val="multilevel"/>
    <w:tmpl w:val="F272BB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46153B"/>
    <w:multiLevelType w:val="hybridMultilevel"/>
    <w:tmpl w:val="C2D64238"/>
    <w:lvl w:ilvl="0" w:tplc="2CC28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424C79"/>
    <w:multiLevelType w:val="hybridMultilevel"/>
    <w:tmpl w:val="C23E7046"/>
    <w:lvl w:ilvl="0" w:tplc="F6AE1998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56A46D7"/>
    <w:multiLevelType w:val="multilevel"/>
    <w:tmpl w:val="F946A4C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5"/>
    <w:rsid w:val="00024491"/>
    <w:rsid w:val="00034F09"/>
    <w:rsid w:val="000647A7"/>
    <w:rsid w:val="00080BC9"/>
    <w:rsid w:val="00092EB6"/>
    <w:rsid w:val="000B0AFC"/>
    <w:rsid w:val="000B2292"/>
    <w:rsid w:val="000B2885"/>
    <w:rsid w:val="000D187D"/>
    <w:rsid w:val="000D653E"/>
    <w:rsid w:val="000E067E"/>
    <w:rsid w:val="000E7240"/>
    <w:rsid w:val="000E797F"/>
    <w:rsid w:val="000F3173"/>
    <w:rsid w:val="00105AE7"/>
    <w:rsid w:val="00115269"/>
    <w:rsid w:val="00121494"/>
    <w:rsid w:val="0012572D"/>
    <w:rsid w:val="00127EC6"/>
    <w:rsid w:val="00144750"/>
    <w:rsid w:val="00163BA2"/>
    <w:rsid w:val="00165323"/>
    <w:rsid w:val="00176249"/>
    <w:rsid w:val="001E7449"/>
    <w:rsid w:val="001F4726"/>
    <w:rsid w:val="00206385"/>
    <w:rsid w:val="00220B3B"/>
    <w:rsid w:val="00227208"/>
    <w:rsid w:val="00234A50"/>
    <w:rsid w:val="002373F2"/>
    <w:rsid w:val="002530EA"/>
    <w:rsid w:val="00266D08"/>
    <w:rsid w:val="00273E47"/>
    <w:rsid w:val="002A0AE1"/>
    <w:rsid w:val="002C26DD"/>
    <w:rsid w:val="00306A9E"/>
    <w:rsid w:val="0031176A"/>
    <w:rsid w:val="00312182"/>
    <w:rsid w:val="00356E17"/>
    <w:rsid w:val="00374B83"/>
    <w:rsid w:val="003D0D74"/>
    <w:rsid w:val="003E767C"/>
    <w:rsid w:val="00405AA8"/>
    <w:rsid w:val="004527F8"/>
    <w:rsid w:val="00464772"/>
    <w:rsid w:val="00465EE8"/>
    <w:rsid w:val="00477CCC"/>
    <w:rsid w:val="004A0D34"/>
    <w:rsid w:val="004B22CE"/>
    <w:rsid w:val="00503CE1"/>
    <w:rsid w:val="005067F6"/>
    <w:rsid w:val="005148BB"/>
    <w:rsid w:val="0051568B"/>
    <w:rsid w:val="0051673E"/>
    <w:rsid w:val="005173CF"/>
    <w:rsid w:val="00517A52"/>
    <w:rsid w:val="00522BF9"/>
    <w:rsid w:val="00524C1A"/>
    <w:rsid w:val="005316A2"/>
    <w:rsid w:val="00533FE6"/>
    <w:rsid w:val="005D79A9"/>
    <w:rsid w:val="005E3244"/>
    <w:rsid w:val="00613197"/>
    <w:rsid w:val="00614D15"/>
    <w:rsid w:val="006163D6"/>
    <w:rsid w:val="006475D1"/>
    <w:rsid w:val="006751A1"/>
    <w:rsid w:val="00695240"/>
    <w:rsid w:val="006A3F1E"/>
    <w:rsid w:val="006B232D"/>
    <w:rsid w:val="006D24D7"/>
    <w:rsid w:val="006D73E7"/>
    <w:rsid w:val="006E5A88"/>
    <w:rsid w:val="006F7063"/>
    <w:rsid w:val="00734DFA"/>
    <w:rsid w:val="007573D9"/>
    <w:rsid w:val="007638D0"/>
    <w:rsid w:val="007702C1"/>
    <w:rsid w:val="00795A53"/>
    <w:rsid w:val="007B1B3D"/>
    <w:rsid w:val="007C6392"/>
    <w:rsid w:val="007D568C"/>
    <w:rsid w:val="0080228F"/>
    <w:rsid w:val="008129B8"/>
    <w:rsid w:val="00821552"/>
    <w:rsid w:val="00826897"/>
    <w:rsid w:val="008432B8"/>
    <w:rsid w:val="00867680"/>
    <w:rsid w:val="0087619D"/>
    <w:rsid w:val="008B08C1"/>
    <w:rsid w:val="008C5968"/>
    <w:rsid w:val="008F3F80"/>
    <w:rsid w:val="00901AB8"/>
    <w:rsid w:val="00922FCA"/>
    <w:rsid w:val="009263C1"/>
    <w:rsid w:val="0092768F"/>
    <w:rsid w:val="009316C6"/>
    <w:rsid w:val="009524A0"/>
    <w:rsid w:val="00960119"/>
    <w:rsid w:val="00965736"/>
    <w:rsid w:val="009728E8"/>
    <w:rsid w:val="009B6219"/>
    <w:rsid w:val="009C1566"/>
    <w:rsid w:val="009E4834"/>
    <w:rsid w:val="009F22AC"/>
    <w:rsid w:val="009F3167"/>
    <w:rsid w:val="00A133E0"/>
    <w:rsid w:val="00A367DC"/>
    <w:rsid w:val="00A461D6"/>
    <w:rsid w:val="00A67B4C"/>
    <w:rsid w:val="00A8653A"/>
    <w:rsid w:val="00A9388F"/>
    <w:rsid w:val="00AB2965"/>
    <w:rsid w:val="00AB2B29"/>
    <w:rsid w:val="00AC2B91"/>
    <w:rsid w:val="00AD38F2"/>
    <w:rsid w:val="00B10770"/>
    <w:rsid w:val="00B3039D"/>
    <w:rsid w:val="00B3069A"/>
    <w:rsid w:val="00B31300"/>
    <w:rsid w:val="00B4175A"/>
    <w:rsid w:val="00B445BE"/>
    <w:rsid w:val="00B65BFE"/>
    <w:rsid w:val="00B8591B"/>
    <w:rsid w:val="00B9367E"/>
    <w:rsid w:val="00BF3BF0"/>
    <w:rsid w:val="00C209CC"/>
    <w:rsid w:val="00C42A74"/>
    <w:rsid w:val="00C653C3"/>
    <w:rsid w:val="00C673D8"/>
    <w:rsid w:val="00C870A5"/>
    <w:rsid w:val="00CB3D55"/>
    <w:rsid w:val="00CC2E26"/>
    <w:rsid w:val="00CE3B3C"/>
    <w:rsid w:val="00D66BA9"/>
    <w:rsid w:val="00D8100C"/>
    <w:rsid w:val="00DD6859"/>
    <w:rsid w:val="00DF4D95"/>
    <w:rsid w:val="00E76C81"/>
    <w:rsid w:val="00E87F98"/>
    <w:rsid w:val="00E96AA9"/>
    <w:rsid w:val="00EB2BE3"/>
    <w:rsid w:val="00EC3A6B"/>
    <w:rsid w:val="00ED1EEF"/>
    <w:rsid w:val="00EE2F38"/>
    <w:rsid w:val="00EF3AE9"/>
    <w:rsid w:val="00F12B4A"/>
    <w:rsid w:val="00F27ECE"/>
    <w:rsid w:val="00F42DE0"/>
    <w:rsid w:val="00F47F3E"/>
    <w:rsid w:val="00F613D4"/>
    <w:rsid w:val="00F86105"/>
    <w:rsid w:val="00F87678"/>
    <w:rsid w:val="00FE051E"/>
    <w:rsid w:val="00F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95"/>
  </w:style>
  <w:style w:type="paragraph" w:styleId="1">
    <w:name w:val="heading 1"/>
    <w:basedOn w:val="a"/>
    <w:next w:val="a"/>
    <w:link w:val="10"/>
    <w:uiPriority w:val="9"/>
    <w:qFormat/>
    <w:rsid w:val="00DF4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4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4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4D95"/>
    <w:rPr>
      <w:color w:val="0000FF" w:themeColor="hyperlink"/>
      <w:u w:val="single"/>
    </w:rPr>
  </w:style>
  <w:style w:type="paragraph" w:customStyle="1" w:styleId="ConsPlusNormal">
    <w:name w:val="ConsPlusNormal"/>
    <w:rsid w:val="00DF4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DF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4D95"/>
    <w:pPr>
      <w:spacing w:after="0" w:line="240" w:lineRule="auto"/>
    </w:pPr>
  </w:style>
  <w:style w:type="paragraph" w:customStyle="1" w:styleId="a6">
    <w:name w:val="Стиль"/>
    <w:rsid w:val="00DF4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F4D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F4D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F4D9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D9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4D95"/>
  </w:style>
  <w:style w:type="paragraph" w:styleId="ae">
    <w:name w:val="footer"/>
    <w:basedOn w:val="a"/>
    <w:link w:val="af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4D95"/>
  </w:style>
  <w:style w:type="paragraph" w:styleId="af0">
    <w:name w:val="List Paragraph"/>
    <w:basedOn w:val="a"/>
    <w:uiPriority w:val="34"/>
    <w:qFormat/>
    <w:rsid w:val="00B9367E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B9367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9E48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95"/>
  </w:style>
  <w:style w:type="paragraph" w:styleId="1">
    <w:name w:val="heading 1"/>
    <w:basedOn w:val="a"/>
    <w:next w:val="a"/>
    <w:link w:val="10"/>
    <w:uiPriority w:val="9"/>
    <w:qFormat/>
    <w:rsid w:val="00DF4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4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4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4D95"/>
    <w:rPr>
      <w:color w:val="0000FF" w:themeColor="hyperlink"/>
      <w:u w:val="single"/>
    </w:rPr>
  </w:style>
  <w:style w:type="paragraph" w:customStyle="1" w:styleId="ConsPlusNormal">
    <w:name w:val="ConsPlusNormal"/>
    <w:rsid w:val="00DF4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DF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4D95"/>
    <w:pPr>
      <w:spacing w:after="0" w:line="240" w:lineRule="auto"/>
    </w:pPr>
  </w:style>
  <w:style w:type="paragraph" w:customStyle="1" w:styleId="a6">
    <w:name w:val="Стиль"/>
    <w:rsid w:val="00DF4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F4D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F4D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F4D9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D9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4D95"/>
  </w:style>
  <w:style w:type="paragraph" w:styleId="ae">
    <w:name w:val="footer"/>
    <w:basedOn w:val="a"/>
    <w:link w:val="af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4D95"/>
  </w:style>
  <w:style w:type="paragraph" w:styleId="af0">
    <w:name w:val="List Paragraph"/>
    <w:basedOn w:val="a"/>
    <w:uiPriority w:val="34"/>
    <w:qFormat/>
    <w:rsid w:val="00B9367E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B9367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9E4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consultantplus://offline/ref=F6334B45560654A2B1FCFFB03E860C1D0FE9B3CDD1AB7E04373DF1FBB137003353923B0E1183028205D0DD81D09EE6D02175BCE130A74CY5C" TargetMode="External"/><Relationship Id="rId18" Type="http://schemas.openxmlformats.org/officeDocument/2006/relationships/hyperlink" Target="http://docs.cntd.ru/document/901919338" TargetMode="External"/><Relationship Id="rId26" Type="http://schemas.openxmlformats.org/officeDocument/2006/relationships/hyperlink" Target="consultantplus://offline/ref=131CC43B81ECCCB612C55E389A691AD51CDB41F24D35CC9149329389DC7A974CAC93EE67B18286AB3E5715D3D9EC5A816634EE8ACA4BvDxEI" TargetMode="External"/><Relationship Id="rId39" Type="http://schemas.openxmlformats.org/officeDocument/2006/relationships/hyperlink" Target="https://gsn.nso.ru/page/477" TargetMode="External"/><Relationship Id="rId3" Type="http://schemas.microsoft.com/office/2007/relationships/stylesWithEffects" Target="stylesWithEffects.xml"/><Relationship Id="rId21" Type="http://schemas.openxmlformats.org/officeDocument/2006/relationships/chart" Target="charts/chart1.xml"/><Relationship Id="rId34" Type="http://schemas.openxmlformats.org/officeDocument/2006/relationships/hyperlink" Target="https://gsn.nso.ru/page/206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consultantplus://offline/ref=AE86DDBCB305C21E2E412F2D73104CA12C69361BD3798F8BE38A2EEF413444F2E74E5A0226449885A51882A00E0670FCEEC5C7EE23292Ea4C" TargetMode="External"/><Relationship Id="rId25" Type="http://schemas.openxmlformats.org/officeDocument/2006/relationships/hyperlink" Target="consultantplus://offline/ref=131CC43B81ECCCB612C55E389A691AD51CDB41F24D35CC9149329389DC7A974CAC93EE67B18287AB3E5715D3D9EC5A816634EE8ACA4BvDxEI" TargetMode="External"/><Relationship Id="rId33" Type="http://schemas.openxmlformats.org/officeDocument/2006/relationships/hyperlink" Target="http://gsn.nso.ru/page/327" TargetMode="External"/><Relationship Id="rId38" Type="http://schemas.openxmlformats.org/officeDocument/2006/relationships/hyperlink" Target="file:///C:\Users\bnmi\Downloads\&#1089;&#1077;&#1084;&#1080;&#1085;&#1072;&#1088;%20&#1087;&#1086;%20&#1090;&#1077;&#1084;&#1077;: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yperlink" Target="consultantplus://offline/ref=DE2DE3F8186B0DAD49024581CC687100370F9CF04F09F41D864C5FF71A7F20C9F6D215EF9CDF6274D0B10E266419A4E3B2DE8BF819284107FC7EH" TargetMode="External"/><Relationship Id="rId29" Type="http://schemas.openxmlformats.org/officeDocument/2006/relationships/hyperlink" Target="consultantplus://offline/ref=67693AB61EC29F808AB3E1B6B07CD5D977C62F008FAEE4C1C77ABA12BD5B1C5B815268EBAD62C803A814C08E302892897DC3F227E4b1U7I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338" TargetMode="External"/><Relationship Id="rId24" Type="http://schemas.openxmlformats.org/officeDocument/2006/relationships/hyperlink" Target="consultantplus://offline/ref=131CC43B81ECCCB612C55E389A691AD51CDB41F24D35CC9149329389DC7A974CAC93EE67B18382AB3E5715D3D9EC5A816634EE8ACA4BvDxEI" TargetMode="External"/><Relationship Id="rId32" Type="http://schemas.openxmlformats.org/officeDocument/2006/relationships/chart" Target="charts/chart3.xml"/><Relationship Id="rId37" Type="http://schemas.openxmlformats.org/officeDocument/2006/relationships/hyperlink" Target="http://gsn.nso.ru/page/471" TargetMode="External"/><Relationship Id="rId40" Type="http://schemas.openxmlformats.org/officeDocument/2006/relationships/hyperlink" Target="http://gsn.nso.ru/page/3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86DDBCB305C21E2E412F2D73104CA12C69361BD3798F8BE38A2EEF413444F2E74E5A07274D95DAA00D93F801076DE3EFDBDBEC2122aBC" TargetMode="External"/><Relationship Id="rId23" Type="http://schemas.openxmlformats.org/officeDocument/2006/relationships/hyperlink" Target="consultantplus://offline/ref=131CC43B81ECCCB612C55E389A691AD51CDB41F24D35CC9149329389DC7A974CAC93EE67B18C87AB3E5715D3D9EC5A816634EE8ACA4BvDxEI" TargetMode="External"/><Relationship Id="rId28" Type="http://schemas.openxmlformats.org/officeDocument/2006/relationships/hyperlink" Target="consultantplus://offline/ref=131CC43B81ECCCB612C55E389A691AD51CDB41F24D35CC9149329389DC7A974CAC93EE64B08E89AB3E5715D3D9EC5A816634EE8ACA4BvDxEI" TargetMode="External"/><Relationship Id="rId36" Type="http://schemas.openxmlformats.org/officeDocument/2006/relationships/hyperlink" Target="https://gsn.nso.ru/page/465" TargetMode="External"/><Relationship Id="rId10" Type="http://schemas.openxmlformats.org/officeDocument/2006/relationships/hyperlink" Target="http://docs.cntd.ru/document/432837794" TargetMode="External"/><Relationship Id="rId19" Type="http://schemas.openxmlformats.org/officeDocument/2006/relationships/hyperlink" Target="http://docs.cntd.ru/document/901919338" TargetMode="External"/><Relationship Id="rId31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hyperlink" Target="consultantplus://offline/ref=9B12716F016A378282AF73B5A33900F0B7A7061CCAF2A6AE03DD2471476085DCE006EAE950A08669DA5D87D8498B4976C3098B582D97B980oDr7I" TargetMode="External"/><Relationship Id="rId27" Type="http://schemas.openxmlformats.org/officeDocument/2006/relationships/hyperlink" Target="consultantplus://offline/ref=131CC43B81ECCCB612C55E389A691AD51CDB41F24D35CC9149329389DC7A974CAC93EE64B08E86AB3E5715D3D9EC5A816634EE8ACA4BvDxEI" TargetMode="External"/><Relationship Id="rId30" Type="http://schemas.openxmlformats.org/officeDocument/2006/relationships/hyperlink" Target="consultantplus://offline/ref=D967A93B0C0D928BD70ADE0BC20624533B6B98FEFBC2700787A372B64655F8AA015686723A8D91790C9DF3FBD76E7E57EB74290EED56n8n8I" TargetMode="External"/><Relationship Id="rId35" Type="http://schemas.openxmlformats.org/officeDocument/2006/relationships/hyperlink" Target="https://gsn.nso.ru/page/206" TargetMode="Externa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Data\bnmi\&#1056;&#1072;&#1073;&#1086;&#1095;&#1080;&#1081;%20&#1089;&#1090;&#1086;&#1083;\&#1053;&#1072;&#1090;&#1072;&#1083;&#1100;&#1103;_2020\2021\&#1054;&#1090;&#1095;&#1077;&#1090;&#1099;%202021\1%20&#1087;&#1086;&#1083;&#1091;&#1075;&#1086;&#1076;&#1080;&#1077;\&#1090;&#1072;&#1073;&#1083;&#1080;&#109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Data\bnmi\&#1056;&#1072;&#1073;&#1086;&#1095;&#1080;&#1081;%20&#1089;&#1090;&#1086;&#1083;\&#1053;&#1072;&#1090;&#1072;&#1083;&#1100;&#1103;_2020\2021\&#1054;&#1090;&#1095;&#1077;&#1090;&#1099;%202021\1%20&#1087;&#1086;&#1083;&#1091;&#1075;&#1086;&#1076;&#1080;&#1077;\&#1090;&#1072;&#1073;&#1083;&#1080;&#109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Data\bnmi\&#1056;&#1072;&#1073;&#1086;&#1095;&#1080;&#1081;%20&#1089;&#1090;&#1086;&#1083;\&#1053;&#1072;&#1090;&#1072;&#1083;&#1100;&#1103;_2020\2021\&#1054;&#1090;&#1095;&#1077;&#1090;&#1099;%202021\1%20&#1087;&#1086;&#1083;&#1091;&#1075;&#1086;&#1076;&#1080;&#1077;\&#1090;&#1072;&#1073;&#1083;&#1080;&#109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1. Распределение  объектов государственного надзора  по категориям риска</a:t>
            </a:r>
            <a:r>
              <a:rPr lang="ru-RU" sz="1100" b="1" i="0" u="none" strike="noStrike" kern="120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 по состоянию на 01.07.2021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[таблицы.xlsx]Лист1!$C$2</c:f>
              <c:strCache>
                <c:ptCount val="1"/>
                <c:pt idx="0">
                  <c:v>Высокий риск</c:v>
                </c:pt>
              </c:strCache>
            </c:strRef>
          </c:tx>
          <c:invertIfNegative val="0"/>
          <c:val>
            <c:numRef>
              <c:f>[таблицы.xlsx]Лист1!$C$3</c:f>
              <c:numCache>
                <c:formatCode>General</c:formatCode>
                <c:ptCount val="1"/>
                <c:pt idx="0">
                  <c:v>482</c:v>
                </c:pt>
              </c:numCache>
            </c:numRef>
          </c:val>
        </c:ser>
        <c:ser>
          <c:idx val="1"/>
          <c:order val="1"/>
          <c:tx>
            <c:strRef>
              <c:f>[таблицы.xlsx]Лист1!$D$2</c:f>
              <c:strCache>
                <c:ptCount val="1"/>
                <c:pt idx="0">
                  <c:v>Значительный риск</c:v>
                </c:pt>
              </c:strCache>
            </c:strRef>
          </c:tx>
          <c:invertIfNegative val="0"/>
          <c:val>
            <c:numRef>
              <c:f>[таблицы.xlsx]Лист1!$D$3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2"/>
          <c:order val="2"/>
          <c:tx>
            <c:strRef>
              <c:f>[таблицы.xlsx]Лист1!$E$2</c:f>
              <c:strCache>
                <c:ptCount val="1"/>
                <c:pt idx="0">
                  <c:v>Умеренный риск</c:v>
                </c:pt>
              </c:strCache>
            </c:strRef>
          </c:tx>
          <c:invertIfNegative val="0"/>
          <c:val>
            <c:numRef>
              <c:f>[таблицы.xlsx]Лист1!$E$3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416064"/>
        <c:axId val="135417856"/>
      </c:barChart>
      <c:catAx>
        <c:axId val="135416064"/>
        <c:scaling>
          <c:orientation val="minMax"/>
        </c:scaling>
        <c:delete val="0"/>
        <c:axPos val="b"/>
        <c:majorTickMark val="none"/>
        <c:minorTickMark val="none"/>
        <c:tickLblPos val="none"/>
        <c:crossAx val="135417856"/>
        <c:crosses val="autoZero"/>
        <c:auto val="1"/>
        <c:lblAlgn val="ctr"/>
        <c:lblOffset val="100"/>
        <c:noMultiLvlLbl val="0"/>
      </c:catAx>
      <c:valAx>
        <c:axId val="13541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416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2. Динамика выданных инспекцией предписаний об устранении нарушений в 2021, 2020 г.г.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[таблицы.xlsx]Лист1!$D$48:$E$48</c:f>
              <c:strCache>
                <c:ptCount val="2"/>
                <c:pt idx="0">
                  <c:v>Всего предписаний по состоянию на 01.07.2021</c:v>
                </c:pt>
                <c:pt idx="1">
                  <c:v>Всего предписаний по состоянию на 01.07.2020</c:v>
                </c:pt>
              </c:strCache>
            </c:strRef>
          </c:cat>
          <c:val>
            <c:numRef>
              <c:f>[таблицы.xlsx]Лист1!$D$49:$E$49</c:f>
              <c:numCache>
                <c:formatCode>General</c:formatCode>
                <c:ptCount val="2"/>
                <c:pt idx="0">
                  <c:v>252</c:v>
                </c:pt>
                <c:pt idx="1">
                  <c:v>220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Рисунок  3. Виды административных наказаний за совершение административных правонарушений в 1 полугодии 2021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[таблицы.xlsx]Лист1!$C$73</c:f>
              <c:strCache>
                <c:ptCount val="1"/>
                <c:pt idx="0">
                  <c:v>Всего постановлений инспекции по состоянию на 01.07.2021</c:v>
                </c:pt>
              </c:strCache>
            </c:strRef>
          </c:tx>
          <c:invertIfNegative val="0"/>
          <c:cat>
            <c:strRef>
              <c:f>[таблицы.xlsx]Лист1!$D$72:$E$72</c:f>
              <c:strCache>
                <c:ptCount val="2"/>
                <c:pt idx="0">
                  <c:v>Предупреждение</c:v>
                </c:pt>
                <c:pt idx="1">
                  <c:v>Административный штраф</c:v>
                </c:pt>
              </c:strCache>
            </c:strRef>
          </c:cat>
          <c:val>
            <c:numRef>
              <c:f>[таблицы.xlsx]Лист1!$D$73:$E$73</c:f>
              <c:numCache>
                <c:formatCode>General</c:formatCode>
                <c:ptCount val="2"/>
                <c:pt idx="0">
                  <c:v>83</c:v>
                </c:pt>
                <c:pt idx="1">
                  <c:v>95</c:v>
                </c:pt>
              </c:numCache>
            </c:numRef>
          </c:val>
        </c:ser>
        <c:ser>
          <c:idx val="1"/>
          <c:order val="1"/>
          <c:tx>
            <c:strRef>
              <c:f>[таблицы.xlsx]Лист1!$C$74</c:f>
              <c:strCache>
                <c:ptCount val="1"/>
                <c:pt idx="0">
                  <c:v>Всего постановлений/решений судов Новосибирской области по состоянию на 01.07.2021 </c:v>
                </c:pt>
              </c:strCache>
            </c:strRef>
          </c:tx>
          <c:invertIfNegative val="0"/>
          <c:cat>
            <c:strRef>
              <c:f>[таблицы.xlsx]Лист1!$D$72:$E$72</c:f>
              <c:strCache>
                <c:ptCount val="2"/>
                <c:pt idx="0">
                  <c:v>Предупреждение</c:v>
                </c:pt>
                <c:pt idx="1">
                  <c:v>Административный штраф</c:v>
                </c:pt>
              </c:strCache>
            </c:strRef>
          </c:cat>
          <c:val>
            <c:numRef>
              <c:f>[таблицы.xlsx]Лист1!$D$74:$E$74</c:f>
              <c:numCache>
                <c:formatCode>General</c:formatCode>
                <c:ptCount val="2"/>
                <c:pt idx="0">
                  <c:v>10</c:v>
                </c:pt>
                <c:pt idx="1">
                  <c:v>40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467776"/>
        <c:axId val="135469312"/>
      </c:barChart>
      <c:catAx>
        <c:axId val="135467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35469312"/>
        <c:crosses val="autoZero"/>
        <c:auto val="1"/>
        <c:lblAlgn val="ctr"/>
        <c:lblOffset val="100"/>
        <c:noMultiLvlLbl val="0"/>
      </c:catAx>
      <c:valAx>
        <c:axId val="135469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467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720550747173745"/>
          <c:y val="0.34405101201113342"/>
          <c:w val="0.34279449252826255"/>
          <c:h val="0.5026030974983211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Белокопытова Наталья Михайловна</cp:lastModifiedBy>
  <cp:revision>2</cp:revision>
  <cp:lastPrinted>2021-07-20T09:21:00Z</cp:lastPrinted>
  <dcterms:created xsi:type="dcterms:W3CDTF">2021-08-03T07:39:00Z</dcterms:created>
  <dcterms:modified xsi:type="dcterms:W3CDTF">2021-08-03T07:39:00Z</dcterms:modified>
</cp:coreProperties>
</file>